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9DB" w:rsidRPr="00AA76A8" w:rsidRDefault="00B159DB" w:rsidP="005334BA">
      <w:pPr>
        <w:ind w:firstLine="0"/>
      </w:pPr>
      <w:bookmarkStart w:id="0" w:name="_Toc235334908"/>
      <w:r w:rsidRPr="00AA76A8">
        <w:t>Obsah:</w:t>
      </w:r>
    </w:p>
    <w:p w:rsidR="00015B09" w:rsidRDefault="00B159D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bCs/>
        </w:rPr>
        <w:fldChar w:fldCharType="begin"/>
      </w:r>
      <w:r>
        <w:rPr>
          <w:bCs/>
        </w:rPr>
        <w:instrText xml:space="preserve"> TOC \o \h \z \u </w:instrText>
      </w:r>
      <w:r>
        <w:rPr>
          <w:bCs/>
        </w:rPr>
        <w:fldChar w:fldCharType="separate"/>
      </w:r>
      <w:hyperlink w:anchor="_Toc24470305" w:history="1">
        <w:r w:rsidR="00015B09" w:rsidRPr="00F567A9">
          <w:rPr>
            <w:rStyle w:val="Hypertextovodkaz"/>
            <w:noProof/>
          </w:rPr>
          <w:t>1. Identifikační údaje</w:t>
        </w:r>
        <w:r w:rsidR="00015B09">
          <w:rPr>
            <w:noProof/>
            <w:webHidden/>
          </w:rPr>
          <w:tab/>
        </w:r>
        <w:r w:rsidR="00015B09">
          <w:rPr>
            <w:noProof/>
            <w:webHidden/>
          </w:rPr>
          <w:fldChar w:fldCharType="begin"/>
        </w:r>
        <w:r w:rsidR="00015B09">
          <w:rPr>
            <w:noProof/>
            <w:webHidden/>
          </w:rPr>
          <w:instrText xml:space="preserve"> PAGEREF _Toc24470305 \h </w:instrText>
        </w:r>
        <w:r w:rsidR="00015B09">
          <w:rPr>
            <w:noProof/>
            <w:webHidden/>
          </w:rPr>
        </w:r>
        <w:r w:rsidR="00015B09">
          <w:rPr>
            <w:noProof/>
            <w:webHidden/>
          </w:rPr>
          <w:fldChar w:fldCharType="separate"/>
        </w:r>
        <w:r w:rsidR="00015B09">
          <w:rPr>
            <w:noProof/>
            <w:webHidden/>
          </w:rPr>
          <w:t>2</w:t>
        </w:r>
        <w:r w:rsidR="00015B09">
          <w:rPr>
            <w:noProof/>
            <w:webHidden/>
          </w:rPr>
          <w:fldChar w:fldCharType="end"/>
        </w:r>
      </w:hyperlink>
    </w:p>
    <w:p w:rsidR="00015B09" w:rsidRDefault="003F7B5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70306" w:history="1">
        <w:r w:rsidR="00015B09" w:rsidRPr="00F567A9">
          <w:rPr>
            <w:rStyle w:val="Hypertextovodkaz"/>
            <w:noProof/>
          </w:rPr>
          <w:t>2. Název</w:t>
        </w:r>
        <w:r w:rsidR="00015B09">
          <w:rPr>
            <w:noProof/>
            <w:webHidden/>
          </w:rPr>
          <w:tab/>
        </w:r>
        <w:r w:rsidR="00015B09">
          <w:rPr>
            <w:noProof/>
            <w:webHidden/>
          </w:rPr>
          <w:fldChar w:fldCharType="begin"/>
        </w:r>
        <w:r w:rsidR="00015B09">
          <w:rPr>
            <w:noProof/>
            <w:webHidden/>
          </w:rPr>
          <w:instrText xml:space="preserve"> PAGEREF _Toc24470306 \h </w:instrText>
        </w:r>
        <w:r w:rsidR="00015B09">
          <w:rPr>
            <w:noProof/>
            <w:webHidden/>
          </w:rPr>
        </w:r>
        <w:r w:rsidR="00015B09">
          <w:rPr>
            <w:noProof/>
            <w:webHidden/>
          </w:rPr>
          <w:fldChar w:fldCharType="separate"/>
        </w:r>
        <w:r w:rsidR="00015B09">
          <w:rPr>
            <w:noProof/>
            <w:webHidden/>
          </w:rPr>
          <w:t>2</w:t>
        </w:r>
        <w:r w:rsidR="00015B09">
          <w:rPr>
            <w:noProof/>
            <w:webHidden/>
          </w:rPr>
          <w:fldChar w:fldCharType="end"/>
        </w:r>
      </w:hyperlink>
    </w:p>
    <w:p w:rsidR="00015B09" w:rsidRDefault="003F7B55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70307" w:history="1">
        <w:r w:rsidR="00015B09" w:rsidRPr="00F567A9">
          <w:rPr>
            <w:rStyle w:val="Hypertextovodkaz"/>
          </w:rPr>
          <w:t>2.1 Identifikační údaje stavebního objektu</w:t>
        </w:r>
        <w:r w:rsidR="00015B09">
          <w:rPr>
            <w:webHidden/>
          </w:rPr>
          <w:tab/>
        </w:r>
        <w:r w:rsidR="00015B09">
          <w:rPr>
            <w:webHidden/>
          </w:rPr>
          <w:fldChar w:fldCharType="begin"/>
        </w:r>
        <w:r w:rsidR="00015B09">
          <w:rPr>
            <w:webHidden/>
          </w:rPr>
          <w:instrText xml:space="preserve"> PAGEREF _Toc24470307 \h </w:instrText>
        </w:r>
        <w:r w:rsidR="00015B09">
          <w:rPr>
            <w:webHidden/>
          </w:rPr>
        </w:r>
        <w:r w:rsidR="00015B09">
          <w:rPr>
            <w:webHidden/>
          </w:rPr>
          <w:fldChar w:fldCharType="separate"/>
        </w:r>
        <w:r w:rsidR="00015B09">
          <w:rPr>
            <w:webHidden/>
          </w:rPr>
          <w:t>2</w:t>
        </w:r>
        <w:r w:rsidR="00015B09">
          <w:rPr>
            <w:webHidden/>
          </w:rPr>
          <w:fldChar w:fldCharType="end"/>
        </w:r>
      </w:hyperlink>
    </w:p>
    <w:p w:rsidR="00015B09" w:rsidRDefault="003F7B55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70308" w:history="1">
        <w:r w:rsidR="00015B09" w:rsidRPr="00F567A9">
          <w:rPr>
            <w:rStyle w:val="Hypertextovodkaz"/>
          </w:rPr>
          <w:t>2.2 Popis a základní údaje o objektu</w:t>
        </w:r>
        <w:r w:rsidR="00015B09">
          <w:rPr>
            <w:webHidden/>
          </w:rPr>
          <w:tab/>
        </w:r>
        <w:r w:rsidR="00015B09">
          <w:rPr>
            <w:webHidden/>
          </w:rPr>
          <w:fldChar w:fldCharType="begin"/>
        </w:r>
        <w:r w:rsidR="00015B09">
          <w:rPr>
            <w:webHidden/>
          </w:rPr>
          <w:instrText xml:space="preserve"> PAGEREF _Toc24470308 \h </w:instrText>
        </w:r>
        <w:r w:rsidR="00015B09">
          <w:rPr>
            <w:webHidden/>
          </w:rPr>
        </w:r>
        <w:r w:rsidR="00015B09">
          <w:rPr>
            <w:webHidden/>
          </w:rPr>
          <w:fldChar w:fldCharType="separate"/>
        </w:r>
        <w:r w:rsidR="00015B09">
          <w:rPr>
            <w:webHidden/>
          </w:rPr>
          <w:t>2</w:t>
        </w:r>
        <w:r w:rsidR="00015B09">
          <w:rPr>
            <w:webHidden/>
          </w:rPr>
          <w:fldChar w:fldCharType="end"/>
        </w:r>
      </w:hyperlink>
    </w:p>
    <w:p w:rsidR="00015B09" w:rsidRDefault="003F7B5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70309" w:history="1">
        <w:r w:rsidR="00015B09" w:rsidRPr="00F567A9">
          <w:rPr>
            <w:rStyle w:val="Hypertextovodkaz"/>
            <w:noProof/>
          </w:rPr>
          <w:t>3. Přehled výchozích podkladů</w:t>
        </w:r>
        <w:r w:rsidR="00015B09">
          <w:rPr>
            <w:noProof/>
            <w:webHidden/>
          </w:rPr>
          <w:tab/>
        </w:r>
        <w:r w:rsidR="00015B09">
          <w:rPr>
            <w:noProof/>
            <w:webHidden/>
          </w:rPr>
          <w:fldChar w:fldCharType="begin"/>
        </w:r>
        <w:r w:rsidR="00015B09">
          <w:rPr>
            <w:noProof/>
            <w:webHidden/>
          </w:rPr>
          <w:instrText xml:space="preserve"> PAGEREF _Toc24470309 \h </w:instrText>
        </w:r>
        <w:r w:rsidR="00015B09">
          <w:rPr>
            <w:noProof/>
            <w:webHidden/>
          </w:rPr>
        </w:r>
        <w:r w:rsidR="00015B09">
          <w:rPr>
            <w:noProof/>
            <w:webHidden/>
          </w:rPr>
          <w:fldChar w:fldCharType="separate"/>
        </w:r>
        <w:r w:rsidR="00015B09">
          <w:rPr>
            <w:noProof/>
            <w:webHidden/>
          </w:rPr>
          <w:t>2</w:t>
        </w:r>
        <w:r w:rsidR="00015B09">
          <w:rPr>
            <w:noProof/>
            <w:webHidden/>
          </w:rPr>
          <w:fldChar w:fldCharType="end"/>
        </w:r>
      </w:hyperlink>
    </w:p>
    <w:p w:rsidR="00015B09" w:rsidRDefault="003F7B5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70310" w:history="1">
        <w:r w:rsidR="00015B09" w:rsidRPr="00F567A9">
          <w:rPr>
            <w:rStyle w:val="Hypertextovodkaz"/>
            <w:noProof/>
          </w:rPr>
          <w:t>4. Popis technického ŘEŠENÍ</w:t>
        </w:r>
        <w:r w:rsidR="00015B09">
          <w:rPr>
            <w:noProof/>
            <w:webHidden/>
          </w:rPr>
          <w:tab/>
        </w:r>
        <w:r w:rsidR="00015B09">
          <w:rPr>
            <w:noProof/>
            <w:webHidden/>
          </w:rPr>
          <w:fldChar w:fldCharType="begin"/>
        </w:r>
        <w:r w:rsidR="00015B09">
          <w:rPr>
            <w:noProof/>
            <w:webHidden/>
          </w:rPr>
          <w:instrText xml:space="preserve"> PAGEREF _Toc24470310 \h </w:instrText>
        </w:r>
        <w:r w:rsidR="00015B09">
          <w:rPr>
            <w:noProof/>
            <w:webHidden/>
          </w:rPr>
        </w:r>
        <w:r w:rsidR="00015B09">
          <w:rPr>
            <w:noProof/>
            <w:webHidden/>
          </w:rPr>
          <w:fldChar w:fldCharType="separate"/>
        </w:r>
        <w:r w:rsidR="00015B09">
          <w:rPr>
            <w:noProof/>
            <w:webHidden/>
          </w:rPr>
          <w:t>4</w:t>
        </w:r>
        <w:r w:rsidR="00015B09">
          <w:rPr>
            <w:noProof/>
            <w:webHidden/>
          </w:rPr>
          <w:fldChar w:fldCharType="end"/>
        </w:r>
      </w:hyperlink>
    </w:p>
    <w:p w:rsidR="00015B09" w:rsidRDefault="003F7B55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70311" w:history="1">
        <w:r w:rsidR="00015B09" w:rsidRPr="00F567A9">
          <w:rPr>
            <w:rStyle w:val="Hypertextovodkaz"/>
          </w:rPr>
          <w:t>4.1 Energetická náročnost</w:t>
        </w:r>
        <w:r w:rsidR="00015B09">
          <w:rPr>
            <w:webHidden/>
          </w:rPr>
          <w:tab/>
        </w:r>
        <w:r w:rsidR="00015B09">
          <w:rPr>
            <w:webHidden/>
          </w:rPr>
          <w:fldChar w:fldCharType="begin"/>
        </w:r>
        <w:r w:rsidR="00015B09">
          <w:rPr>
            <w:webHidden/>
          </w:rPr>
          <w:instrText xml:space="preserve"> PAGEREF _Toc24470311 \h </w:instrText>
        </w:r>
        <w:r w:rsidR="00015B09">
          <w:rPr>
            <w:webHidden/>
          </w:rPr>
        </w:r>
        <w:r w:rsidR="00015B09">
          <w:rPr>
            <w:webHidden/>
          </w:rPr>
          <w:fldChar w:fldCharType="separate"/>
        </w:r>
        <w:r w:rsidR="00015B09">
          <w:rPr>
            <w:webHidden/>
          </w:rPr>
          <w:t>4</w:t>
        </w:r>
        <w:r w:rsidR="00015B09">
          <w:rPr>
            <w:webHidden/>
          </w:rPr>
          <w:fldChar w:fldCharType="end"/>
        </w:r>
      </w:hyperlink>
    </w:p>
    <w:p w:rsidR="00015B09" w:rsidRDefault="003F7B55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70312" w:history="1">
        <w:r w:rsidR="00015B09" w:rsidRPr="00F567A9">
          <w:rPr>
            <w:rStyle w:val="Hypertextovodkaz"/>
          </w:rPr>
          <w:t>4.2 Teplovzdušné vytápění a haly údržby</w:t>
        </w:r>
        <w:r w:rsidR="00015B09">
          <w:rPr>
            <w:webHidden/>
          </w:rPr>
          <w:tab/>
        </w:r>
        <w:r w:rsidR="00015B09">
          <w:rPr>
            <w:webHidden/>
          </w:rPr>
          <w:fldChar w:fldCharType="begin"/>
        </w:r>
        <w:r w:rsidR="00015B09">
          <w:rPr>
            <w:webHidden/>
          </w:rPr>
          <w:instrText xml:space="preserve"> PAGEREF _Toc24470312 \h </w:instrText>
        </w:r>
        <w:r w:rsidR="00015B09">
          <w:rPr>
            <w:webHidden/>
          </w:rPr>
        </w:r>
        <w:r w:rsidR="00015B09">
          <w:rPr>
            <w:webHidden/>
          </w:rPr>
          <w:fldChar w:fldCharType="separate"/>
        </w:r>
        <w:r w:rsidR="00015B09">
          <w:rPr>
            <w:webHidden/>
          </w:rPr>
          <w:t>5</w:t>
        </w:r>
        <w:r w:rsidR="00015B09">
          <w:rPr>
            <w:webHidden/>
          </w:rPr>
          <w:fldChar w:fldCharType="end"/>
        </w:r>
      </w:hyperlink>
    </w:p>
    <w:p w:rsidR="00015B09" w:rsidRDefault="003F7B55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70313" w:history="1">
        <w:r w:rsidR="00015B09" w:rsidRPr="00F567A9">
          <w:rPr>
            <w:rStyle w:val="Hypertextovodkaz"/>
          </w:rPr>
          <w:t>4.3 Napojení VZT jednotek</w:t>
        </w:r>
        <w:r w:rsidR="00015B09">
          <w:rPr>
            <w:webHidden/>
          </w:rPr>
          <w:tab/>
        </w:r>
        <w:r w:rsidR="00015B09">
          <w:rPr>
            <w:webHidden/>
          </w:rPr>
          <w:fldChar w:fldCharType="begin"/>
        </w:r>
        <w:r w:rsidR="00015B09">
          <w:rPr>
            <w:webHidden/>
          </w:rPr>
          <w:instrText xml:space="preserve"> PAGEREF _Toc24470313 \h </w:instrText>
        </w:r>
        <w:r w:rsidR="00015B09">
          <w:rPr>
            <w:webHidden/>
          </w:rPr>
        </w:r>
        <w:r w:rsidR="00015B09">
          <w:rPr>
            <w:webHidden/>
          </w:rPr>
          <w:fldChar w:fldCharType="separate"/>
        </w:r>
        <w:r w:rsidR="00015B09">
          <w:rPr>
            <w:webHidden/>
          </w:rPr>
          <w:t>5</w:t>
        </w:r>
        <w:r w:rsidR="00015B09">
          <w:rPr>
            <w:webHidden/>
          </w:rPr>
          <w:fldChar w:fldCharType="end"/>
        </w:r>
      </w:hyperlink>
    </w:p>
    <w:p w:rsidR="00015B09" w:rsidRDefault="003F7B55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70314" w:history="1">
        <w:r w:rsidR="00015B09" w:rsidRPr="00F567A9">
          <w:rPr>
            <w:rStyle w:val="Hypertextovodkaz"/>
          </w:rPr>
          <w:t>4.4 Rozvody vytápění</w:t>
        </w:r>
        <w:r w:rsidR="00015B09">
          <w:rPr>
            <w:webHidden/>
          </w:rPr>
          <w:tab/>
        </w:r>
        <w:r w:rsidR="00015B09">
          <w:rPr>
            <w:webHidden/>
          </w:rPr>
          <w:fldChar w:fldCharType="begin"/>
        </w:r>
        <w:r w:rsidR="00015B09">
          <w:rPr>
            <w:webHidden/>
          </w:rPr>
          <w:instrText xml:space="preserve"> PAGEREF _Toc24470314 \h </w:instrText>
        </w:r>
        <w:r w:rsidR="00015B09">
          <w:rPr>
            <w:webHidden/>
          </w:rPr>
        </w:r>
        <w:r w:rsidR="00015B09">
          <w:rPr>
            <w:webHidden/>
          </w:rPr>
          <w:fldChar w:fldCharType="separate"/>
        </w:r>
        <w:r w:rsidR="00015B09">
          <w:rPr>
            <w:webHidden/>
          </w:rPr>
          <w:t>5</w:t>
        </w:r>
        <w:r w:rsidR="00015B09">
          <w:rPr>
            <w:webHidden/>
          </w:rPr>
          <w:fldChar w:fldCharType="end"/>
        </w:r>
      </w:hyperlink>
    </w:p>
    <w:p w:rsidR="00015B09" w:rsidRDefault="003F7B55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70315" w:history="1">
        <w:r w:rsidR="00015B09" w:rsidRPr="00F567A9">
          <w:rPr>
            <w:rStyle w:val="Hypertextovodkaz"/>
          </w:rPr>
          <w:t>4.5 Izolace potrubí</w:t>
        </w:r>
        <w:r w:rsidR="00015B09">
          <w:rPr>
            <w:webHidden/>
          </w:rPr>
          <w:tab/>
        </w:r>
        <w:r w:rsidR="00015B09">
          <w:rPr>
            <w:webHidden/>
          </w:rPr>
          <w:fldChar w:fldCharType="begin"/>
        </w:r>
        <w:r w:rsidR="00015B09">
          <w:rPr>
            <w:webHidden/>
          </w:rPr>
          <w:instrText xml:space="preserve"> PAGEREF _Toc24470315 \h </w:instrText>
        </w:r>
        <w:r w:rsidR="00015B09">
          <w:rPr>
            <w:webHidden/>
          </w:rPr>
        </w:r>
        <w:r w:rsidR="00015B09">
          <w:rPr>
            <w:webHidden/>
          </w:rPr>
          <w:fldChar w:fldCharType="separate"/>
        </w:r>
        <w:r w:rsidR="00015B09">
          <w:rPr>
            <w:webHidden/>
          </w:rPr>
          <w:t>6</w:t>
        </w:r>
        <w:r w:rsidR="00015B09">
          <w:rPr>
            <w:webHidden/>
          </w:rPr>
          <w:fldChar w:fldCharType="end"/>
        </w:r>
      </w:hyperlink>
    </w:p>
    <w:p w:rsidR="00015B09" w:rsidRDefault="003F7B55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70316" w:history="1">
        <w:r w:rsidR="00015B09" w:rsidRPr="00F567A9">
          <w:rPr>
            <w:rStyle w:val="Hypertextovodkaz"/>
          </w:rPr>
          <w:t>4.6 Měření spotřeby energie</w:t>
        </w:r>
        <w:r w:rsidR="00015B09">
          <w:rPr>
            <w:webHidden/>
          </w:rPr>
          <w:tab/>
        </w:r>
        <w:r w:rsidR="00015B09">
          <w:rPr>
            <w:webHidden/>
          </w:rPr>
          <w:fldChar w:fldCharType="begin"/>
        </w:r>
        <w:r w:rsidR="00015B09">
          <w:rPr>
            <w:webHidden/>
          </w:rPr>
          <w:instrText xml:space="preserve"> PAGEREF _Toc24470316 \h </w:instrText>
        </w:r>
        <w:r w:rsidR="00015B09">
          <w:rPr>
            <w:webHidden/>
          </w:rPr>
        </w:r>
        <w:r w:rsidR="00015B09">
          <w:rPr>
            <w:webHidden/>
          </w:rPr>
          <w:fldChar w:fldCharType="separate"/>
        </w:r>
        <w:r w:rsidR="00015B09">
          <w:rPr>
            <w:webHidden/>
          </w:rPr>
          <w:t>6</w:t>
        </w:r>
        <w:r w:rsidR="00015B09">
          <w:rPr>
            <w:webHidden/>
          </w:rPr>
          <w:fldChar w:fldCharType="end"/>
        </w:r>
      </w:hyperlink>
    </w:p>
    <w:p w:rsidR="00015B09" w:rsidRDefault="003F7B5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70317" w:history="1">
        <w:r w:rsidR="00015B09" w:rsidRPr="00F567A9">
          <w:rPr>
            <w:rStyle w:val="Hypertextovodkaz"/>
            <w:noProof/>
          </w:rPr>
          <w:t>5. shrnutí rozhodujících závěrů z pracovních porad včetně uvedení odkazu na dokladovou část</w:t>
        </w:r>
        <w:r w:rsidR="00015B09">
          <w:rPr>
            <w:noProof/>
            <w:webHidden/>
          </w:rPr>
          <w:tab/>
        </w:r>
        <w:r w:rsidR="00015B09">
          <w:rPr>
            <w:noProof/>
            <w:webHidden/>
          </w:rPr>
          <w:fldChar w:fldCharType="begin"/>
        </w:r>
        <w:r w:rsidR="00015B09">
          <w:rPr>
            <w:noProof/>
            <w:webHidden/>
          </w:rPr>
          <w:instrText xml:space="preserve"> PAGEREF _Toc24470317 \h </w:instrText>
        </w:r>
        <w:r w:rsidR="00015B09">
          <w:rPr>
            <w:noProof/>
            <w:webHidden/>
          </w:rPr>
        </w:r>
        <w:r w:rsidR="00015B09">
          <w:rPr>
            <w:noProof/>
            <w:webHidden/>
          </w:rPr>
          <w:fldChar w:fldCharType="separate"/>
        </w:r>
        <w:r w:rsidR="00015B09">
          <w:rPr>
            <w:noProof/>
            <w:webHidden/>
          </w:rPr>
          <w:t>6</w:t>
        </w:r>
        <w:r w:rsidR="00015B09">
          <w:rPr>
            <w:noProof/>
            <w:webHidden/>
          </w:rPr>
          <w:fldChar w:fldCharType="end"/>
        </w:r>
      </w:hyperlink>
    </w:p>
    <w:p w:rsidR="00015B09" w:rsidRDefault="003F7B55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70318" w:history="1">
        <w:r w:rsidR="00015B09" w:rsidRPr="00F567A9">
          <w:rPr>
            <w:rStyle w:val="Hypertextovodkaz"/>
          </w:rPr>
          <w:t>5.1 DODRŽENÍ OBECNÝCH POŽADAVKŮ NA VÝSTAVBU</w:t>
        </w:r>
        <w:r w:rsidR="00015B09">
          <w:rPr>
            <w:webHidden/>
          </w:rPr>
          <w:tab/>
        </w:r>
        <w:r w:rsidR="00015B09">
          <w:rPr>
            <w:webHidden/>
          </w:rPr>
          <w:fldChar w:fldCharType="begin"/>
        </w:r>
        <w:r w:rsidR="00015B09">
          <w:rPr>
            <w:webHidden/>
          </w:rPr>
          <w:instrText xml:space="preserve"> PAGEREF _Toc24470318 \h </w:instrText>
        </w:r>
        <w:r w:rsidR="00015B09">
          <w:rPr>
            <w:webHidden/>
          </w:rPr>
        </w:r>
        <w:r w:rsidR="00015B09">
          <w:rPr>
            <w:webHidden/>
          </w:rPr>
          <w:fldChar w:fldCharType="separate"/>
        </w:r>
        <w:r w:rsidR="00015B09">
          <w:rPr>
            <w:webHidden/>
          </w:rPr>
          <w:t>6</w:t>
        </w:r>
        <w:r w:rsidR="00015B09">
          <w:rPr>
            <w:webHidden/>
          </w:rPr>
          <w:fldChar w:fldCharType="end"/>
        </w:r>
      </w:hyperlink>
    </w:p>
    <w:p w:rsidR="00015B09" w:rsidRDefault="003F7B5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70319" w:history="1">
        <w:r w:rsidR="00015B09" w:rsidRPr="00F567A9">
          <w:rPr>
            <w:rStyle w:val="Hypertextovodkaz"/>
            <w:noProof/>
          </w:rPr>
          <w:t>6. návaznost na OSTATNÍ PROVOZNÍ SOUBORY (PS) A stavební objekty (SO)</w:t>
        </w:r>
        <w:r w:rsidR="00015B09">
          <w:rPr>
            <w:noProof/>
            <w:webHidden/>
          </w:rPr>
          <w:tab/>
        </w:r>
        <w:r w:rsidR="00015B09">
          <w:rPr>
            <w:noProof/>
            <w:webHidden/>
          </w:rPr>
          <w:fldChar w:fldCharType="begin"/>
        </w:r>
        <w:r w:rsidR="00015B09">
          <w:rPr>
            <w:noProof/>
            <w:webHidden/>
          </w:rPr>
          <w:instrText xml:space="preserve"> PAGEREF _Toc24470319 \h </w:instrText>
        </w:r>
        <w:r w:rsidR="00015B09">
          <w:rPr>
            <w:noProof/>
            <w:webHidden/>
          </w:rPr>
        </w:r>
        <w:r w:rsidR="00015B09">
          <w:rPr>
            <w:noProof/>
            <w:webHidden/>
          </w:rPr>
          <w:fldChar w:fldCharType="separate"/>
        </w:r>
        <w:r w:rsidR="00015B09">
          <w:rPr>
            <w:noProof/>
            <w:webHidden/>
          </w:rPr>
          <w:t>7</w:t>
        </w:r>
        <w:r w:rsidR="00015B09">
          <w:rPr>
            <w:noProof/>
            <w:webHidden/>
          </w:rPr>
          <w:fldChar w:fldCharType="end"/>
        </w:r>
      </w:hyperlink>
    </w:p>
    <w:p w:rsidR="00015B09" w:rsidRDefault="003F7B5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70320" w:history="1">
        <w:r w:rsidR="00015B09" w:rsidRPr="00F567A9">
          <w:rPr>
            <w:rStyle w:val="Hypertextovodkaz"/>
            <w:noProof/>
          </w:rPr>
          <w:t>7. Požární bezpečnost stavby</w:t>
        </w:r>
        <w:r w:rsidR="00015B09">
          <w:rPr>
            <w:noProof/>
            <w:webHidden/>
          </w:rPr>
          <w:tab/>
        </w:r>
        <w:r w:rsidR="00015B09">
          <w:rPr>
            <w:noProof/>
            <w:webHidden/>
          </w:rPr>
          <w:fldChar w:fldCharType="begin"/>
        </w:r>
        <w:r w:rsidR="00015B09">
          <w:rPr>
            <w:noProof/>
            <w:webHidden/>
          </w:rPr>
          <w:instrText xml:space="preserve"> PAGEREF _Toc24470320 \h </w:instrText>
        </w:r>
        <w:r w:rsidR="00015B09">
          <w:rPr>
            <w:noProof/>
            <w:webHidden/>
          </w:rPr>
        </w:r>
        <w:r w:rsidR="00015B09">
          <w:rPr>
            <w:noProof/>
            <w:webHidden/>
          </w:rPr>
          <w:fldChar w:fldCharType="separate"/>
        </w:r>
        <w:r w:rsidR="00015B09">
          <w:rPr>
            <w:noProof/>
            <w:webHidden/>
          </w:rPr>
          <w:t>7</w:t>
        </w:r>
        <w:r w:rsidR="00015B09">
          <w:rPr>
            <w:noProof/>
            <w:webHidden/>
          </w:rPr>
          <w:fldChar w:fldCharType="end"/>
        </w:r>
      </w:hyperlink>
    </w:p>
    <w:p w:rsidR="00015B09" w:rsidRDefault="003F7B5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70321" w:history="1">
        <w:r w:rsidR="00015B09" w:rsidRPr="00F567A9">
          <w:rPr>
            <w:rStyle w:val="Hypertextovodkaz"/>
            <w:noProof/>
          </w:rPr>
          <w:t>8. Bezpečnost práce a ochrana zdraví při práci</w:t>
        </w:r>
        <w:r w:rsidR="00015B09">
          <w:rPr>
            <w:noProof/>
            <w:webHidden/>
          </w:rPr>
          <w:tab/>
        </w:r>
        <w:r w:rsidR="00015B09">
          <w:rPr>
            <w:noProof/>
            <w:webHidden/>
          </w:rPr>
          <w:fldChar w:fldCharType="begin"/>
        </w:r>
        <w:r w:rsidR="00015B09">
          <w:rPr>
            <w:noProof/>
            <w:webHidden/>
          </w:rPr>
          <w:instrText xml:space="preserve"> PAGEREF _Toc24470321 \h </w:instrText>
        </w:r>
        <w:r w:rsidR="00015B09">
          <w:rPr>
            <w:noProof/>
            <w:webHidden/>
          </w:rPr>
        </w:r>
        <w:r w:rsidR="00015B09">
          <w:rPr>
            <w:noProof/>
            <w:webHidden/>
          </w:rPr>
          <w:fldChar w:fldCharType="separate"/>
        </w:r>
        <w:r w:rsidR="00015B09">
          <w:rPr>
            <w:noProof/>
            <w:webHidden/>
          </w:rPr>
          <w:t>8</w:t>
        </w:r>
        <w:r w:rsidR="00015B09">
          <w:rPr>
            <w:noProof/>
            <w:webHidden/>
          </w:rPr>
          <w:fldChar w:fldCharType="end"/>
        </w:r>
      </w:hyperlink>
    </w:p>
    <w:p w:rsidR="00015B09" w:rsidRDefault="003F7B5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4470322" w:history="1">
        <w:r w:rsidR="00015B09" w:rsidRPr="00F567A9">
          <w:rPr>
            <w:rStyle w:val="Hypertextovodkaz"/>
            <w:noProof/>
          </w:rPr>
          <w:t>9. Přílohy:</w:t>
        </w:r>
        <w:r w:rsidR="00015B09">
          <w:rPr>
            <w:noProof/>
            <w:webHidden/>
          </w:rPr>
          <w:tab/>
        </w:r>
        <w:r w:rsidR="00015B09">
          <w:rPr>
            <w:noProof/>
            <w:webHidden/>
          </w:rPr>
          <w:fldChar w:fldCharType="begin"/>
        </w:r>
        <w:r w:rsidR="00015B09">
          <w:rPr>
            <w:noProof/>
            <w:webHidden/>
          </w:rPr>
          <w:instrText xml:space="preserve"> PAGEREF _Toc24470322 \h </w:instrText>
        </w:r>
        <w:r w:rsidR="00015B09">
          <w:rPr>
            <w:noProof/>
            <w:webHidden/>
          </w:rPr>
        </w:r>
        <w:r w:rsidR="00015B09">
          <w:rPr>
            <w:noProof/>
            <w:webHidden/>
          </w:rPr>
          <w:fldChar w:fldCharType="separate"/>
        </w:r>
        <w:r w:rsidR="00015B09">
          <w:rPr>
            <w:noProof/>
            <w:webHidden/>
          </w:rPr>
          <w:t>10</w:t>
        </w:r>
        <w:r w:rsidR="00015B09">
          <w:rPr>
            <w:noProof/>
            <w:webHidden/>
          </w:rPr>
          <w:fldChar w:fldCharType="end"/>
        </w:r>
      </w:hyperlink>
    </w:p>
    <w:p w:rsidR="00015B09" w:rsidRDefault="003F7B55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70323" w:history="1">
        <w:r w:rsidR="00015B09" w:rsidRPr="00F567A9">
          <w:rPr>
            <w:rStyle w:val="Hypertextovodkaz"/>
          </w:rPr>
          <w:t>9.1 Tepelná ztráta</w:t>
        </w:r>
        <w:r w:rsidR="00015B09">
          <w:rPr>
            <w:webHidden/>
          </w:rPr>
          <w:tab/>
        </w:r>
        <w:r w:rsidR="00015B09">
          <w:rPr>
            <w:webHidden/>
          </w:rPr>
          <w:fldChar w:fldCharType="begin"/>
        </w:r>
        <w:r w:rsidR="00015B09">
          <w:rPr>
            <w:webHidden/>
          </w:rPr>
          <w:instrText xml:space="preserve"> PAGEREF _Toc24470323 \h </w:instrText>
        </w:r>
        <w:r w:rsidR="00015B09">
          <w:rPr>
            <w:webHidden/>
          </w:rPr>
        </w:r>
        <w:r w:rsidR="00015B09">
          <w:rPr>
            <w:webHidden/>
          </w:rPr>
          <w:fldChar w:fldCharType="separate"/>
        </w:r>
        <w:r w:rsidR="00015B09">
          <w:rPr>
            <w:webHidden/>
          </w:rPr>
          <w:t>10</w:t>
        </w:r>
        <w:r w:rsidR="00015B09">
          <w:rPr>
            <w:webHidden/>
          </w:rPr>
          <w:fldChar w:fldCharType="end"/>
        </w:r>
      </w:hyperlink>
    </w:p>
    <w:p w:rsidR="00015B09" w:rsidRDefault="003F7B55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4470324" w:history="1">
        <w:r w:rsidR="00015B09" w:rsidRPr="00F567A9">
          <w:rPr>
            <w:rStyle w:val="Hypertextovodkaz"/>
          </w:rPr>
          <w:t>9.2 Potřeba energie</w:t>
        </w:r>
        <w:r w:rsidR="00015B09">
          <w:rPr>
            <w:webHidden/>
          </w:rPr>
          <w:tab/>
        </w:r>
        <w:r w:rsidR="00015B09">
          <w:rPr>
            <w:webHidden/>
          </w:rPr>
          <w:fldChar w:fldCharType="begin"/>
        </w:r>
        <w:r w:rsidR="00015B09">
          <w:rPr>
            <w:webHidden/>
          </w:rPr>
          <w:instrText xml:space="preserve"> PAGEREF _Toc24470324 \h </w:instrText>
        </w:r>
        <w:r w:rsidR="00015B09">
          <w:rPr>
            <w:webHidden/>
          </w:rPr>
        </w:r>
        <w:r w:rsidR="00015B09">
          <w:rPr>
            <w:webHidden/>
          </w:rPr>
          <w:fldChar w:fldCharType="separate"/>
        </w:r>
        <w:r w:rsidR="00015B09">
          <w:rPr>
            <w:webHidden/>
          </w:rPr>
          <w:t>10</w:t>
        </w:r>
        <w:r w:rsidR="00015B09">
          <w:rPr>
            <w:webHidden/>
          </w:rPr>
          <w:fldChar w:fldCharType="end"/>
        </w:r>
      </w:hyperlink>
    </w:p>
    <w:p w:rsidR="00B159DB" w:rsidRDefault="00B159DB" w:rsidP="006835F6">
      <w:pPr>
        <w:pStyle w:val="Nadpis1"/>
        <w:numPr>
          <w:ilvl w:val="0"/>
          <w:numId w:val="0"/>
        </w:numPr>
        <w:rPr>
          <w:kern w:val="0"/>
        </w:rPr>
      </w:pPr>
      <w:r>
        <w:rPr>
          <w:bCs w:val="0"/>
        </w:rPr>
        <w:fldChar w:fldCharType="end"/>
      </w:r>
      <w:bookmarkEnd w:id="0"/>
    </w:p>
    <w:p w:rsidR="00A607DC" w:rsidRDefault="00B159DB" w:rsidP="00A607DC">
      <w:pPr>
        <w:pStyle w:val="Nadpis1"/>
        <w:contextualSpacing/>
      </w:pPr>
      <w:r>
        <w:rPr>
          <w:kern w:val="0"/>
        </w:rPr>
        <w:br w:type="page"/>
      </w:r>
      <w:bookmarkStart w:id="1" w:name="_Toc2605977"/>
      <w:bookmarkStart w:id="2" w:name="_Toc24470305"/>
      <w:bookmarkStart w:id="3" w:name="_Toc467852816"/>
      <w:bookmarkStart w:id="4" w:name="_Toc503258751"/>
      <w:bookmarkStart w:id="5" w:name="_Toc389134379"/>
      <w:r w:rsidR="00A607DC">
        <w:lastRenderedPageBreak/>
        <w:t>Identifikační údaje</w:t>
      </w:r>
      <w:bookmarkEnd w:id="1"/>
      <w:bookmarkEnd w:id="2"/>
    </w:p>
    <w:bookmarkEnd w:id="3"/>
    <w:bookmarkEnd w:id="4"/>
    <w:p w:rsidR="004C6B45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r w:rsidRPr="00535F9D">
        <w:rPr>
          <w:szCs w:val="24"/>
        </w:rPr>
        <w:t>Název akce :</w:t>
      </w:r>
      <w:r w:rsidRPr="00535F9D">
        <w:rPr>
          <w:szCs w:val="24"/>
        </w:rPr>
        <w:tab/>
      </w:r>
      <w:r>
        <w:rPr>
          <w:b/>
        </w:rPr>
        <w:t>Rekonstrukce vozovny Slovany Plzeň, Slovanská alej 35</w:t>
      </w:r>
      <w:r>
        <w:rPr>
          <w:b/>
          <w:szCs w:val="24"/>
        </w:rPr>
        <w:t xml:space="preserve"> </w:t>
      </w:r>
    </w:p>
    <w:p w:rsidR="004C6B45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b/>
          <w:szCs w:val="24"/>
        </w:rPr>
      </w:pPr>
      <w:r>
        <w:rPr>
          <w:b/>
          <w:szCs w:val="24"/>
        </w:rPr>
        <w:tab/>
      </w:r>
    </w:p>
    <w:p w:rsidR="004C6B45" w:rsidRPr="00535F9D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left="2552" w:hanging="1843"/>
        <w:rPr>
          <w:szCs w:val="24"/>
        </w:rPr>
      </w:pPr>
      <w:r>
        <w:rPr>
          <w:szCs w:val="24"/>
        </w:rPr>
        <w:t>Stupeň :</w:t>
      </w:r>
      <w:r>
        <w:rPr>
          <w:szCs w:val="24"/>
        </w:rPr>
        <w:tab/>
        <w:t>Dokumentace pro provádění stavby (DPS) sloužící pro Zadávací           dokumentaci</w:t>
      </w:r>
    </w:p>
    <w:p w:rsidR="004C6B45" w:rsidRPr="00AC6CE3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  <w:r>
        <w:rPr>
          <w:szCs w:val="24"/>
        </w:rPr>
        <w:t>Umístění stavby:</w:t>
      </w:r>
      <w:r>
        <w:rPr>
          <w:szCs w:val="24"/>
        </w:rPr>
        <w:tab/>
        <w:t>Plzeň</w:t>
      </w:r>
    </w:p>
    <w:p w:rsidR="004C6B45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7E0A8D">
        <w:rPr>
          <w:szCs w:val="24"/>
        </w:rPr>
        <w:t>Katastrální území:</w:t>
      </w:r>
      <w:r w:rsidRPr="007E0A8D">
        <w:rPr>
          <w:szCs w:val="24"/>
        </w:rPr>
        <w:tab/>
      </w:r>
      <w:r>
        <w:rPr>
          <w:szCs w:val="24"/>
        </w:rPr>
        <w:t>Plzeň</w:t>
      </w: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535F9D">
        <w:rPr>
          <w:szCs w:val="24"/>
        </w:rPr>
        <w:t>Zhotovitel :</w:t>
      </w:r>
      <w:r w:rsidRPr="00535F9D">
        <w:rPr>
          <w:szCs w:val="24"/>
        </w:rPr>
        <w:tab/>
      </w:r>
      <w:r w:rsidRPr="00A76E14">
        <w:rPr>
          <w:b/>
          <w:szCs w:val="24"/>
        </w:rPr>
        <w:t>Společnost „MP+MMD – Vozovna Slovany“</w:t>
      </w: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Zastoupená Společníkem 1</w:t>
      </w: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METROPROJEKT Praha a.s</w:t>
      </w:r>
      <w:r w:rsidRPr="00A76E14">
        <w:rPr>
          <w:szCs w:val="24"/>
        </w:rPr>
        <w:t>.,</w:t>
      </w: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I.P. Pavlova 2/1786, 120 00 Praha 2</w:t>
      </w: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45271895,    DIČ: CZ45271895</w:t>
      </w: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a Společníkem 2</w:t>
      </w: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b/>
          <w:szCs w:val="24"/>
        </w:rPr>
        <w:t>Mott MacDonald CZ, s.r.o</w:t>
      </w:r>
      <w:r w:rsidRPr="00A76E14">
        <w:rPr>
          <w:szCs w:val="24"/>
        </w:rPr>
        <w:t>.</w:t>
      </w: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Národní 984/15, 110 00 Praha 1</w:t>
      </w:r>
    </w:p>
    <w:p w:rsidR="004C6B45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48588733,    DIČ: CZ48588733</w:t>
      </w:r>
    </w:p>
    <w:p w:rsidR="004C6B45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535F9D">
        <w:rPr>
          <w:szCs w:val="24"/>
        </w:rPr>
        <w:t>Investor:</w:t>
      </w:r>
      <w:r w:rsidRPr="00535F9D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4C6B45" w:rsidRPr="00CE2CDC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25220683,    DIČ: CZ25220683</w:t>
      </w:r>
      <w:r>
        <w:rPr>
          <w:szCs w:val="24"/>
        </w:rPr>
        <w:t xml:space="preserve"> </w:t>
      </w: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0C1C83">
        <w:rPr>
          <w:szCs w:val="24"/>
        </w:rPr>
        <w:t xml:space="preserve">Objednatel: </w:t>
      </w:r>
      <w:r w:rsidRPr="000C1C83">
        <w:rPr>
          <w:szCs w:val="24"/>
        </w:rPr>
        <w:tab/>
      </w:r>
      <w:r w:rsidRPr="00A76E14">
        <w:rPr>
          <w:szCs w:val="24"/>
        </w:rPr>
        <w:t>Plzeňské městské dopravní podniky, a.s.</w:t>
      </w:r>
    </w:p>
    <w:p w:rsidR="004C6B45" w:rsidRPr="00A76E14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Denisovo nábřeží 920/12, 301 00 Plzeň – Východní Předměstí</w:t>
      </w:r>
    </w:p>
    <w:p w:rsidR="004C6B45" w:rsidRPr="00CE2CDC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ab/>
      </w:r>
      <w:r w:rsidRPr="00A76E14">
        <w:rPr>
          <w:szCs w:val="24"/>
        </w:rPr>
        <w:t>IČ: 25220683,    DIČ: CZ25220683</w:t>
      </w:r>
      <w:r>
        <w:rPr>
          <w:szCs w:val="24"/>
        </w:rPr>
        <w:t xml:space="preserve"> </w:t>
      </w:r>
    </w:p>
    <w:p w:rsidR="004C6B45" w:rsidRPr="000C1C83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4C6B45" w:rsidRPr="000C1C83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0C1C83">
        <w:rPr>
          <w:szCs w:val="24"/>
        </w:rPr>
        <w:t>Inž. činnost:</w:t>
      </w:r>
      <w:r w:rsidRPr="000C1C83">
        <w:rPr>
          <w:szCs w:val="24"/>
        </w:rPr>
        <w:tab/>
      </w:r>
      <w:r w:rsidRPr="00535F9D">
        <w:rPr>
          <w:szCs w:val="24"/>
        </w:rPr>
        <w:t>METROPROJEKT Praha a.s., nám.I.P.Pavlova 1786/2, Praha 2</w:t>
      </w:r>
    </w:p>
    <w:p w:rsidR="004C6B45" w:rsidRPr="00686A55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 w:rsidRPr="00686A55">
        <w:rPr>
          <w:szCs w:val="24"/>
        </w:rPr>
        <w:t xml:space="preserve">Provozovatel: </w:t>
      </w:r>
      <w:r w:rsidRPr="00686A55">
        <w:rPr>
          <w:szCs w:val="24"/>
        </w:rPr>
        <w:tab/>
      </w:r>
      <w:r w:rsidRPr="00A76E14">
        <w:rPr>
          <w:szCs w:val="24"/>
        </w:rPr>
        <w:t>Plzeňské městské dopravní podniky, a.s</w:t>
      </w:r>
    </w:p>
    <w:p w:rsidR="004C6B45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color w:val="FF0000"/>
          <w:szCs w:val="24"/>
        </w:rPr>
      </w:pPr>
    </w:p>
    <w:p w:rsidR="004C6B45" w:rsidRPr="00A127A9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right="-286" w:firstLine="709"/>
        <w:rPr>
          <w:szCs w:val="24"/>
        </w:rPr>
      </w:pPr>
      <w:r>
        <w:rPr>
          <w:szCs w:val="24"/>
        </w:rPr>
        <w:t xml:space="preserve">Smlouva o dílo: </w:t>
      </w:r>
      <w:r>
        <w:rPr>
          <w:szCs w:val="24"/>
        </w:rPr>
        <w:tab/>
        <w:t>7246</w:t>
      </w:r>
    </w:p>
    <w:p w:rsidR="004C6B45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</w:p>
    <w:p w:rsidR="004C6B45" w:rsidRDefault="004C6B45" w:rsidP="004C6B45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>Zhotovení dokumentace: listopad 2019</w:t>
      </w:r>
    </w:p>
    <w:p w:rsidR="004B1FBC" w:rsidRDefault="004C6B45" w:rsidP="00A607DC">
      <w:pPr>
        <w:pStyle w:val="Nadpis1"/>
        <w:contextualSpacing/>
      </w:pPr>
      <w:bookmarkStart w:id="6" w:name="_Toc24470306"/>
      <w:r>
        <w:t>Název</w:t>
      </w:r>
      <w:bookmarkStart w:id="7" w:name="_GoBack"/>
      <w:bookmarkEnd w:id="6"/>
      <w:bookmarkEnd w:id="7"/>
    </w:p>
    <w:p w:rsidR="006324E7" w:rsidRPr="006324E7" w:rsidRDefault="006324E7" w:rsidP="006324E7"/>
    <w:p w:rsidR="004B1FBC" w:rsidRPr="00377971" w:rsidRDefault="004B1FBC" w:rsidP="00C4423E">
      <w:pPr>
        <w:pStyle w:val="Nadpis2"/>
      </w:pPr>
      <w:bookmarkStart w:id="8" w:name="_Toc467852817"/>
      <w:bookmarkStart w:id="9" w:name="_Toc503258752"/>
      <w:bookmarkStart w:id="10" w:name="_Toc24470307"/>
      <w:r w:rsidRPr="00C4423E">
        <w:t>Identifikační</w:t>
      </w:r>
      <w:r>
        <w:t xml:space="preserve"> údaje </w:t>
      </w:r>
      <w:r w:rsidR="00A607DC">
        <w:t>stavebního</w:t>
      </w:r>
      <w:r>
        <w:t xml:space="preserve"> objektu</w:t>
      </w:r>
      <w:bookmarkEnd w:id="8"/>
      <w:bookmarkEnd w:id="9"/>
      <w:bookmarkEnd w:id="10"/>
    </w:p>
    <w:p w:rsidR="0001052F" w:rsidRPr="006324E7" w:rsidRDefault="0001052F" w:rsidP="006540C5">
      <w:pPr>
        <w:spacing w:after="60"/>
        <w:rPr>
          <w:rFonts w:cs="Arial"/>
          <w:sz w:val="24"/>
          <w:szCs w:val="24"/>
        </w:rPr>
      </w:pPr>
      <w:r w:rsidRPr="006324E7">
        <w:rPr>
          <w:rFonts w:cs="Arial"/>
          <w:sz w:val="24"/>
          <w:szCs w:val="24"/>
        </w:rPr>
        <w:t xml:space="preserve">SOD II Objekty odstavu tramvají (ODT) - </w:t>
      </w:r>
      <w:r w:rsidR="006324E7">
        <w:rPr>
          <w:rFonts w:cs="Arial"/>
          <w:sz w:val="24"/>
          <w:szCs w:val="24"/>
        </w:rPr>
        <w:t>SO ODT 10-03 VYTÁPĚNÍ</w:t>
      </w:r>
    </w:p>
    <w:p w:rsidR="004B1FBC" w:rsidRPr="00377971" w:rsidRDefault="004B1FBC" w:rsidP="00C4423E">
      <w:pPr>
        <w:pStyle w:val="Nadpis2"/>
      </w:pPr>
      <w:bookmarkStart w:id="11" w:name="_Toc467852818"/>
      <w:bookmarkStart w:id="12" w:name="_Toc24470308"/>
      <w:bookmarkStart w:id="13" w:name="_Toc503258753"/>
      <w:r w:rsidRPr="00377971">
        <w:t>P</w:t>
      </w:r>
      <w:r>
        <w:t>opis a základní údaje</w:t>
      </w:r>
      <w:bookmarkEnd w:id="11"/>
      <w:r>
        <w:t xml:space="preserve"> o objektu</w:t>
      </w:r>
      <w:bookmarkEnd w:id="12"/>
      <w:r>
        <w:t xml:space="preserve"> </w:t>
      </w:r>
      <w:bookmarkEnd w:id="13"/>
    </w:p>
    <w:p w:rsidR="00FC7A13" w:rsidRDefault="004B1FBC" w:rsidP="00FC7A13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 w:rsidRPr="00ED14F8">
        <w:rPr>
          <w:szCs w:val="24"/>
        </w:rPr>
        <w:t>T</w:t>
      </w:r>
      <w:r w:rsidR="00ED14F8" w:rsidRPr="00ED14F8">
        <w:rPr>
          <w:szCs w:val="24"/>
        </w:rPr>
        <w:t xml:space="preserve">ato dílčí část dokumentace řeší </w:t>
      </w:r>
      <w:r w:rsidR="006324E7">
        <w:rPr>
          <w:szCs w:val="24"/>
        </w:rPr>
        <w:t>vytápění</w:t>
      </w:r>
      <w:r w:rsidR="00ED14F8" w:rsidRPr="00ED14F8">
        <w:rPr>
          <w:szCs w:val="24"/>
        </w:rPr>
        <w:t xml:space="preserve"> v</w:t>
      </w:r>
      <w:r w:rsidR="00096285" w:rsidRPr="00ED14F8">
        <w:rPr>
          <w:szCs w:val="24"/>
        </w:rPr>
        <w:t xml:space="preserve"> </w:t>
      </w:r>
      <w:r w:rsidR="00FC7A13">
        <w:rPr>
          <w:szCs w:val="24"/>
        </w:rPr>
        <w:t>novém objektu</w:t>
      </w:r>
      <w:r w:rsidR="00E17BEE" w:rsidRPr="00ED14F8">
        <w:rPr>
          <w:szCs w:val="24"/>
        </w:rPr>
        <w:t xml:space="preserve"> </w:t>
      </w:r>
      <w:r w:rsidR="006324E7">
        <w:rPr>
          <w:szCs w:val="24"/>
        </w:rPr>
        <w:t xml:space="preserve">SOD II ODT. </w:t>
      </w:r>
      <w:r w:rsidR="00FC7A13">
        <w:rPr>
          <w:szCs w:val="24"/>
        </w:rPr>
        <w:t>O</w:t>
      </w:r>
      <w:r w:rsidR="006324E7">
        <w:rPr>
          <w:szCs w:val="24"/>
        </w:rPr>
        <w:t>bjekt</w:t>
      </w:r>
      <w:r w:rsidR="00FC7A13">
        <w:rPr>
          <w:szCs w:val="24"/>
        </w:rPr>
        <w:t xml:space="preserve"> SOD II je pouze jednopodlažní. </w:t>
      </w:r>
    </w:p>
    <w:p w:rsidR="00FC7A13" w:rsidRPr="00ED14F8" w:rsidRDefault="00FC7A13" w:rsidP="00FC7A13">
      <w:pPr>
        <w:tabs>
          <w:tab w:val="left" w:pos="2552"/>
          <w:tab w:val="left" w:pos="3969"/>
          <w:tab w:val="left" w:pos="6379"/>
        </w:tabs>
        <w:spacing w:after="60"/>
        <w:ind w:firstLine="709"/>
        <w:rPr>
          <w:szCs w:val="24"/>
        </w:rPr>
      </w:pPr>
      <w:r>
        <w:rPr>
          <w:szCs w:val="24"/>
        </w:rPr>
        <w:t xml:space="preserve">Objekt je součástí haly spolu s objekty SOD I a SOD IV a systém </w:t>
      </w:r>
      <w:r w:rsidR="006324E7">
        <w:rPr>
          <w:szCs w:val="24"/>
        </w:rPr>
        <w:t>vytápění</w:t>
      </w:r>
      <w:r>
        <w:rPr>
          <w:szCs w:val="24"/>
        </w:rPr>
        <w:t xml:space="preserve"> je řešen společně a není možné provést </w:t>
      </w:r>
      <w:r w:rsidR="006324E7">
        <w:rPr>
          <w:szCs w:val="24"/>
        </w:rPr>
        <w:t xml:space="preserve">vytápění </w:t>
      </w:r>
      <w:r>
        <w:rPr>
          <w:szCs w:val="24"/>
        </w:rPr>
        <w:t>bez návaznosti na ostatní stavební objekty.</w:t>
      </w:r>
    </w:p>
    <w:p w:rsidR="00E17BEE" w:rsidRPr="002E72FC" w:rsidRDefault="00E17BEE" w:rsidP="00E17BEE">
      <w:pPr>
        <w:pStyle w:val="Nadpis1"/>
      </w:pPr>
      <w:bookmarkStart w:id="14" w:name="_Toc467852819"/>
      <w:bookmarkStart w:id="15" w:name="_Toc503258754"/>
      <w:bookmarkStart w:id="16" w:name="_Toc24470309"/>
      <w:bookmarkStart w:id="17" w:name="_Toc389134380"/>
      <w:bookmarkEnd w:id="5"/>
      <w:r w:rsidRPr="002E72FC">
        <w:t>Přehled výchozích podkladů</w:t>
      </w:r>
      <w:bookmarkEnd w:id="14"/>
      <w:bookmarkEnd w:id="15"/>
      <w:bookmarkEnd w:id="16"/>
    </w:p>
    <w:p w:rsidR="004C6B45" w:rsidRPr="002664E8" w:rsidRDefault="004C6B45" w:rsidP="004C6B45">
      <w:pPr>
        <w:ind w:firstLine="567"/>
      </w:pPr>
      <w:bookmarkStart w:id="18" w:name="_Toc503258755"/>
      <w:bookmarkEnd w:id="17"/>
      <w:r w:rsidRPr="002664E8">
        <w:t>- technická specifikace objednatele</w:t>
      </w:r>
    </w:p>
    <w:p w:rsidR="004C6B45" w:rsidRPr="000B5DFE" w:rsidRDefault="004C6B45" w:rsidP="004C6B45">
      <w:pPr>
        <w:ind w:firstLine="567"/>
      </w:pPr>
      <w:r>
        <w:t>- zadávací podmínky</w:t>
      </w:r>
      <w:r w:rsidRPr="000B5DFE">
        <w:t xml:space="preserve"> SOD</w:t>
      </w:r>
    </w:p>
    <w:p w:rsidR="004C6B45" w:rsidRDefault="004C6B45" w:rsidP="004C6B45">
      <w:pPr>
        <w:ind w:firstLine="567"/>
      </w:pPr>
      <w:r w:rsidRPr="000B5DFE">
        <w:lastRenderedPageBreak/>
        <w:t xml:space="preserve">- </w:t>
      </w:r>
      <w:r>
        <w:t xml:space="preserve">Koncept technického řešení, Metroprojekt Praha,a.s. + </w:t>
      </w:r>
      <w:r w:rsidRPr="001039A6">
        <w:t>Mott MacDonald CZ, s.r.o.</w:t>
      </w:r>
      <w:r>
        <w:t xml:space="preserve">  </w:t>
      </w:r>
    </w:p>
    <w:p w:rsidR="004C6B45" w:rsidRDefault="004C6B45" w:rsidP="004C6B45">
      <w:pPr>
        <w:ind w:left="567" w:firstLine="0"/>
      </w:pPr>
      <w:r>
        <w:t xml:space="preserve">- PD DUR </w:t>
      </w:r>
      <w:r w:rsidRPr="00A11570">
        <w:t>Rekonstrukce vozovny Slovany Plzeň, Slovanská alej 35</w:t>
      </w:r>
      <w:r>
        <w:t xml:space="preserve">, Metroprojekt Praha,a.s. + </w:t>
      </w:r>
      <w:r w:rsidRPr="001039A6">
        <w:t>Mott MacDonald CZ, s.r.o.</w:t>
      </w:r>
      <w:r>
        <w:t xml:space="preserve">  </w:t>
      </w:r>
    </w:p>
    <w:p w:rsidR="004C6B45" w:rsidRDefault="004C6B45" w:rsidP="004C6B45">
      <w:pPr>
        <w:ind w:left="567" w:firstLine="0"/>
      </w:pPr>
      <w:r>
        <w:t xml:space="preserve">- PD DSP </w:t>
      </w:r>
      <w:r w:rsidRPr="00A11570">
        <w:t>Rekonstrukce vozovny Slovany Plzeň, Slovanská alej 35</w:t>
      </w:r>
      <w:r>
        <w:t xml:space="preserve">, Metroprojekt Praha,a.s. + </w:t>
      </w:r>
      <w:r w:rsidRPr="001039A6">
        <w:t>Mott MacDonald CZ, s.r.o.</w:t>
      </w:r>
      <w:r>
        <w:t xml:space="preserve">  </w:t>
      </w:r>
    </w:p>
    <w:p w:rsidR="004C6B45" w:rsidRPr="000B5DFE" w:rsidRDefault="004C6B45" w:rsidP="004C6B45">
      <w:pPr>
        <w:ind w:firstLine="567"/>
      </w:pPr>
      <w:r>
        <w:t xml:space="preserve">- </w:t>
      </w:r>
      <w:r w:rsidRPr="000B5DFE">
        <w:t>dispozice investora</w:t>
      </w:r>
    </w:p>
    <w:p w:rsidR="004C6B45" w:rsidRPr="000B5DFE" w:rsidRDefault="004C6B45" w:rsidP="004C6B45">
      <w:pPr>
        <w:ind w:firstLine="567"/>
      </w:pPr>
      <w:r w:rsidRPr="000B5DFE">
        <w:t>- geodetické podklady  - zaměření z</w:t>
      </w:r>
      <w:r>
        <w:t xml:space="preserve"> 11</w:t>
      </w:r>
      <w:r w:rsidRPr="000B5DFE">
        <w:t>/201</w:t>
      </w:r>
      <w:r>
        <w:t>7</w:t>
      </w:r>
      <w:r w:rsidRPr="000B5DFE">
        <w:t xml:space="preserve">, vypracoval </w:t>
      </w:r>
      <w:r>
        <w:t>Delta G, s.r.o.</w:t>
      </w:r>
    </w:p>
    <w:p w:rsidR="004C6B45" w:rsidRPr="00B85E25" w:rsidRDefault="004C6B45" w:rsidP="004C6B45">
      <w:pPr>
        <w:ind w:firstLine="567"/>
      </w:pPr>
      <w:r>
        <w:t>- katastrální mapa</w:t>
      </w:r>
    </w:p>
    <w:p w:rsidR="004C6B45" w:rsidRDefault="004C6B45" w:rsidP="004C6B45">
      <w:pPr>
        <w:ind w:firstLine="567"/>
      </w:pPr>
      <w:r w:rsidRPr="000B5DFE">
        <w:t>- závěry z výrobních výborů a jednání konaných v průběhu zpracování tohoto projektu</w:t>
      </w:r>
    </w:p>
    <w:p w:rsidR="004C6B45" w:rsidRPr="00F70A83" w:rsidRDefault="004C6B45" w:rsidP="004C6B45">
      <w:pPr>
        <w:ind w:left="709" w:hanging="142"/>
      </w:pPr>
      <w:r>
        <w:t>- Ekologický audit, vypracoval Ekola Group, v 11/2017</w:t>
      </w:r>
    </w:p>
    <w:p w:rsidR="004C6B45" w:rsidRDefault="004C6B45" w:rsidP="004C6B45">
      <w:pPr>
        <w:ind w:left="709" w:hanging="142"/>
      </w:pPr>
      <w:r w:rsidRPr="006B1972">
        <w:t>- Stavebně technický průzkum výskytu azbestových materiálů v objektech vozovny Slovany, vypracoval Removal</w:t>
      </w:r>
      <w:r>
        <w:t xml:space="preserve"> s.r.o.</w:t>
      </w:r>
      <w:r w:rsidRPr="006B1972">
        <w:t>,  Petr Balvín, v 03/2018</w:t>
      </w:r>
    </w:p>
    <w:p w:rsidR="004C6B45" w:rsidRDefault="004C6B45" w:rsidP="004C6B45">
      <w:pPr>
        <w:ind w:left="709" w:hanging="142"/>
      </w:pPr>
    </w:p>
    <w:p w:rsidR="004C6B45" w:rsidRPr="000B5DFE" w:rsidRDefault="004C6B45" w:rsidP="004C6B45">
      <w:pPr>
        <w:ind w:left="709" w:hanging="142"/>
      </w:pPr>
    </w:p>
    <w:p w:rsidR="004C6B45" w:rsidRPr="00671992" w:rsidRDefault="004C6B45" w:rsidP="004C6B45">
      <w:pPr>
        <w:ind w:firstLine="567"/>
        <w:rPr>
          <w:b/>
        </w:rPr>
      </w:pPr>
      <w:r w:rsidRPr="00671992">
        <w:rPr>
          <w:b/>
        </w:rPr>
        <w:t>Podklady objednatele:</w:t>
      </w:r>
    </w:p>
    <w:p w:rsidR="004C6B45" w:rsidRPr="00671992" w:rsidRDefault="004C6B45" w:rsidP="004C6B45">
      <w:pPr>
        <w:ind w:firstLine="567"/>
      </w:pPr>
      <w:r w:rsidRPr="00671992">
        <w:t xml:space="preserve">- dostupné archivní materiály </w:t>
      </w:r>
    </w:p>
    <w:p w:rsidR="004C6B45" w:rsidRPr="00671992" w:rsidRDefault="004C6B45" w:rsidP="004C6B45">
      <w:pPr>
        <w:rPr>
          <w:color w:val="FF0000"/>
        </w:rPr>
      </w:pPr>
    </w:p>
    <w:p w:rsidR="004C6B45" w:rsidRPr="00671992" w:rsidRDefault="004C6B45" w:rsidP="004C6B45">
      <w:pPr>
        <w:ind w:firstLine="567"/>
        <w:rPr>
          <w:b/>
        </w:rPr>
      </w:pPr>
      <w:r w:rsidRPr="00671992">
        <w:rPr>
          <w:b/>
        </w:rPr>
        <w:t xml:space="preserve">Základní právní předpisy a technické normy: 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 266/1994 Sb. o drahách ve znění pozdějších předpisů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vyhl. 177/1995 Sb. Vyhláška Ministerstva dopravy, kterou se vydává stavební řád drah ve znění pozdějších předpisů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bCs/>
          <w:szCs w:val="22"/>
        </w:rPr>
        <w:t>zákon č. 89/2012 Sb., občanský zákoník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č.183/2006 Sb. Zákon o územním plánování a stavebním řádu (stavební zákon), ve znění pozdějších předpisů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 xml:space="preserve">vyhl. 499/2006 Sb. o dokumentaci staveb, ve znění vyhlášky č. 62/2013 Sb. 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vyhl. 146/2008 Sb. o rozsahu a obsahu projektové dokumentace dopravních staveb, ve znění pozdějších předpisů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 xml:space="preserve">zákon č. 137/2006 Sb. o veřejných zakázkách, ve znění pozdějších předpisů – zákona 134/2016 Sb. 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vyhl. 169/2016 Sb. o stanovení rozsahu dokumentace veřejné zakázky na stavební práce a soupisu stavebních prací, dodávek a služeb s výkazem výměr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zákon č. 22/1997 Sb. o technických požadavcích na výrobky a o změně a doplnění některých zákonů, ve znění pozdějších předpisů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nařízení vlády č. 163/2002 Sb., kterým se stanoví technické požadavky na vybrané stavební výrobky, ve znění nařízení č. 312/2005 Sb.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vyhl. 100/1995 Sb. Vyhláška Ministerstva dopravy, kterou se stanoví podmínky pro provoz, konstrukci a výrobu určených technických zařízení a jejich konkretizace (Řád určených technických zařízení) - ve znění pozdějších předpisů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>vyhláška MMR č. 398/2009 Sb., o obecných technických požadavcích zabezpečujících bezbariérové užívání staveb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color w:val="000000"/>
          <w:szCs w:val="22"/>
        </w:rPr>
      </w:pPr>
      <w:r w:rsidRPr="00671992">
        <w:rPr>
          <w:rFonts w:cs="Arial"/>
          <w:color w:val="000000"/>
          <w:szCs w:val="22"/>
        </w:rPr>
        <w:t xml:space="preserve">nařízení vlády č. 17/2003 Sb., kterým se stanoví technické požadavky na elektrická zařízení nízkého napětí 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Zákon č. 133/1985 Sb. o požární ochraně, ve znění pozdějších předpisů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Vyhláška č. 23/2008 Sb., o technických podmínkách požární ochrany staveb, ve znění vyhlášky č. 268/2011 Sb.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ČSN 28 0318  Průjezdné průřezy tramvajových tratí a obrysy pro vozidla provozovaná na tramvajových dráhách.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 xml:space="preserve">ČSN 34 3112 </w:t>
      </w:r>
      <w:r w:rsidRPr="00671992">
        <w:rPr>
          <w:szCs w:val="22"/>
        </w:rPr>
        <w:t>Bezpečnostní předpisy pro práci na trakčním vedení tramvají a trolejbusů</w:t>
      </w:r>
    </w:p>
    <w:p w:rsidR="004C6B45" w:rsidRPr="00671992" w:rsidRDefault="004C6B45" w:rsidP="004C6B45">
      <w:pPr>
        <w:numPr>
          <w:ilvl w:val="1"/>
          <w:numId w:val="43"/>
        </w:numPr>
        <w:autoSpaceDE w:val="0"/>
        <w:autoSpaceDN w:val="0"/>
        <w:adjustRightInd w:val="0"/>
        <w:spacing w:after="70"/>
        <w:ind w:left="567" w:hanging="141"/>
        <w:rPr>
          <w:rFonts w:cs="Arial"/>
          <w:szCs w:val="22"/>
        </w:rPr>
      </w:pPr>
      <w:r w:rsidRPr="00671992">
        <w:rPr>
          <w:rFonts w:cs="Arial"/>
          <w:szCs w:val="22"/>
        </w:rPr>
        <w:t>dále bude upřesněno v dalších stupních dokumentace</w:t>
      </w:r>
    </w:p>
    <w:p w:rsidR="004C6B45" w:rsidRPr="00DB765F" w:rsidRDefault="004C6B45" w:rsidP="004C6B45">
      <w:pPr>
        <w:ind w:left="709" w:hanging="142"/>
        <w:jc w:val="left"/>
      </w:pPr>
      <w:r w:rsidRPr="00DB765F">
        <w:t>- ČSN týkající se řešené problematiky tohoto projektu: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Použité normy a související předpisy: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EN 12831</w:t>
      </w:r>
      <w:r w:rsidRPr="00DB765F">
        <w:rPr>
          <w:rFonts w:cs="Arial"/>
          <w:szCs w:val="22"/>
        </w:rPr>
        <w:tab/>
        <w:t>Tepelné soustavy v budovách - Výpočet tepelného výkonu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73 0540 (1-4)</w:t>
      </w:r>
      <w:r w:rsidRPr="00DB765F">
        <w:rPr>
          <w:rFonts w:cs="Arial"/>
          <w:szCs w:val="22"/>
        </w:rPr>
        <w:tab/>
        <w:t>Tepelná ochrana budov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lastRenderedPageBreak/>
        <w:t>ČSN 73 0548</w:t>
      </w:r>
      <w:r w:rsidRPr="00DB765F">
        <w:rPr>
          <w:rFonts w:cs="Arial"/>
          <w:szCs w:val="22"/>
        </w:rPr>
        <w:tab/>
        <w:t>Výpočet tepelné zátěže klimatizovaných prostorů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06 0310</w:t>
      </w:r>
      <w:r w:rsidRPr="00DB765F">
        <w:rPr>
          <w:rFonts w:cs="Arial"/>
          <w:szCs w:val="22"/>
        </w:rPr>
        <w:tab/>
        <w:t>Tepelné soustavy v budovách – Projektování a montáž</w:t>
      </w:r>
    </w:p>
    <w:p w:rsidR="004C6B45" w:rsidRPr="00DB765F" w:rsidRDefault="004C6B45" w:rsidP="004C6B45">
      <w:pPr>
        <w:tabs>
          <w:tab w:val="left" w:pos="3119"/>
        </w:tabs>
        <w:spacing w:after="0"/>
        <w:ind w:left="3119" w:hanging="2693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06 0320</w:t>
      </w:r>
      <w:r w:rsidRPr="00DB765F">
        <w:rPr>
          <w:rFonts w:cs="Arial"/>
          <w:szCs w:val="22"/>
        </w:rPr>
        <w:tab/>
        <w:t>Tepelné soustavy v budovách - Příprava teplé vody - Navrhování a projektování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06 0830</w:t>
      </w:r>
      <w:r w:rsidRPr="00DB765F">
        <w:rPr>
          <w:rFonts w:cs="Arial"/>
          <w:szCs w:val="22"/>
        </w:rPr>
        <w:tab/>
        <w:t>Tepelné soustavy v budovách - Zabezpečovací zařízení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ČSN 73 0802</w:t>
      </w:r>
      <w:r w:rsidRPr="00DB765F">
        <w:rPr>
          <w:rFonts w:cs="Arial"/>
          <w:szCs w:val="22"/>
        </w:rPr>
        <w:tab/>
        <w:t>Požární bezpečnost staveb – Nevýrobní objekty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Vyhl. MPO 193/2007, kterou se stanoví podrobnosti účinnosti užití energie při rozvodu tepelné energie a vnitřním rozvodu tepelné energie a chladu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Vyhl. MPO 78/2013, o energetické náročnosti budov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Vyhláška č. 91/1993 Sb. k zajištění bezpečnosti práce v nízkotlakých kotelnách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Zákon 309/2006 Sb., kterým se upravují další požadavky bezpečnosti a ochrany zdraví při práci v pracovněprávních vztazích, a o zajištění bezpečnosti 33a ochrany zdraví při činnosti nebo poskytování služeb mimo pracovněprávní vztahy (zákon o zajištění dalších podmínek bezpečnosti a ochrany zdraví při práci)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Nařízení vlády 272/2011 o ochraně zdraví před nepříznivými účinky hluku a vibrací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Nařízení vlády 361/2007 kterým se stanoví podmínky ochrany zdraví při práci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Směrnice STP-OS4/č.l/2005 – Optimální přípustné mikroklimatické podmínky pro obytné prostředí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 xml:space="preserve">Vyhláška č. 268/2009 Sb., o technických požadavcích na stavby ve znění vyhlášky č. 20/2012 Sb. </w:t>
      </w: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</w:p>
    <w:p w:rsidR="004C6B45" w:rsidRPr="00DB765F" w:rsidRDefault="004C6B45" w:rsidP="004C6B45">
      <w:pPr>
        <w:tabs>
          <w:tab w:val="left" w:pos="3119"/>
        </w:tabs>
        <w:spacing w:after="0"/>
        <w:ind w:left="426" w:firstLine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Lokalita (podle ČSN EN 12831, pro otopné období θ</w:t>
      </w:r>
      <w:r w:rsidRPr="00DB765F">
        <w:rPr>
          <w:rFonts w:cs="Arial"/>
          <w:szCs w:val="22"/>
          <w:vertAlign w:val="subscript"/>
        </w:rPr>
        <w:t>np,e</w:t>
      </w:r>
      <w:r w:rsidRPr="00DB765F">
        <w:rPr>
          <w:rFonts w:cs="Arial"/>
          <w:szCs w:val="22"/>
        </w:rPr>
        <w:t xml:space="preserve">=13°C): </w:t>
      </w:r>
      <w:r>
        <w:rPr>
          <w:rFonts w:cs="Arial"/>
          <w:b/>
          <w:szCs w:val="22"/>
        </w:rPr>
        <w:t>PLZEŇ</w:t>
      </w:r>
    </w:p>
    <w:p w:rsidR="004C6B45" w:rsidRPr="00DB765F" w:rsidRDefault="004C6B45" w:rsidP="004C6B45">
      <w:pPr>
        <w:numPr>
          <w:ilvl w:val="0"/>
          <w:numId w:val="39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Venkovní výpočtová teplota: -15</w:t>
      </w:r>
      <w:r w:rsidRPr="00DB765F">
        <w:rPr>
          <w:rFonts w:cs="Arial"/>
          <w:szCs w:val="22"/>
        </w:rPr>
        <w:t>°C</w:t>
      </w:r>
    </w:p>
    <w:p w:rsidR="004C6B45" w:rsidRPr="00DB765F" w:rsidRDefault="004C6B45" w:rsidP="004C6B45">
      <w:pPr>
        <w:numPr>
          <w:ilvl w:val="0"/>
          <w:numId w:val="39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Délka topného období: 233</w:t>
      </w:r>
      <w:r w:rsidRPr="00DB765F">
        <w:rPr>
          <w:rFonts w:cs="Arial"/>
          <w:szCs w:val="22"/>
        </w:rPr>
        <w:t xml:space="preserve"> dnů/rok</w:t>
      </w:r>
    </w:p>
    <w:p w:rsidR="004C6B45" w:rsidRPr="00DB765F" w:rsidRDefault="004C6B45" w:rsidP="004C6B45">
      <w:pPr>
        <w:numPr>
          <w:ilvl w:val="0"/>
          <w:numId w:val="39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 w:rsidRPr="00DB765F">
        <w:rPr>
          <w:rFonts w:cs="Arial"/>
          <w:szCs w:val="22"/>
        </w:rPr>
        <w:t>Průměrná tep</w:t>
      </w:r>
      <w:r>
        <w:rPr>
          <w:rFonts w:cs="Arial"/>
          <w:szCs w:val="22"/>
        </w:rPr>
        <w:t>lota během otopného období: +4,8</w:t>
      </w:r>
      <w:r w:rsidRPr="00DB765F">
        <w:rPr>
          <w:rFonts w:cs="Arial"/>
          <w:szCs w:val="22"/>
        </w:rPr>
        <w:t>°C</w:t>
      </w:r>
    </w:p>
    <w:p w:rsidR="00DB765F" w:rsidRPr="004C6B45" w:rsidRDefault="004C6B45" w:rsidP="004C6B45">
      <w:pPr>
        <w:numPr>
          <w:ilvl w:val="0"/>
          <w:numId w:val="39"/>
        </w:numPr>
        <w:tabs>
          <w:tab w:val="left" w:pos="3119"/>
        </w:tabs>
        <w:spacing w:before="120" w:after="0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Nadmořská výška Praha: 31</w:t>
      </w:r>
      <w:r w:rsidRPr="00DB765F">
        <w:rPr>
          <w:rFonts w:cs="Arial"/>
          <w:szCs w:val="22"/>
        </w:rPr>
        <w:t>1m n.m.</w:t>
      </w:r>
    </w:p>
    <w:p w:rsidR="008B0832" w:rsidRDefault="008B0832" w:rsidP="008B0832">
      <w:pPr>
        <w:pStyle w:val="Nadpis1"/>
      </w:pPr>
      <w:bookmarkStart w:id="19" w:name="_Toc24470310"/>
      <w:r>
        <w:t>Popis technického ŘEŠENÍ</w:t>
      </w:r>
      <w:bookmarkEnd w:id="18"/>
      <w:bookmarkEnd w:id="19"/>
    </w:p>
    <w:p w:rsidR="0058740F" w:rsidRDefault="0058740F" w:rsidP="0058740F">
      <w:pPr>
        <w:pStyle w:val="Nadpis2"/>
      </w:pPr>
      <w:bookmarkStart w:id="20" w:name="_Toc24470311"/>
      <w:r>
        <w:t>Energetická náročnost</w:t>
      </w:r>
      <w:bookmarkEnd w:id="20"/>
    </w:p>
    <w:p w:rsidR="0058740F" w:rsidRPr="0040251D" w:rsidRDefault="0058740F" w:rsidP="0058740F">
      <w:pPr>
        <w:rPr>
          <w:rFonts w:cs="Tahoma"/>
        </w:rPr>
      </w:pPr>
      <w:r w:rsidRPr="0040251D">
        <w:rPr>
          <w:rFonts w:cs="Tahoma"/>
        </w:rPr>
        <w:t>Tepelné ztráty objektu byly počítány dle ČSN EN 12831 „Tepelné soustavy v budovách – Výpočet tepelného výkonu“ pro výpočtovou oblastní teplotu te= -15°C., kdy v jednotlivých místnostech se dosáhne teplot vyznačených ve výkresech.</w:t>
      </w:r>
    </w:p>
    <w:p w:rsidR="0058740F" w:rsidRPr="006C0310" w:rsidRDefault="0058740F" w:rsidP="0058740F">
      <w:pPr>
        <w:rPr>
          <w:rFonts w:cs="Tahoma"/>
        </w:rPr>
      </w:pPr>
      <w:r w:rsidRPr="0040251D">
        <w:rPr>
          <w:rFonts w:cs="Tahoma"/>
        </w:rPr>
        <w:t>Stavební konstrukce objektu z hlediska tepelně-technických vlastností vyhovuje ČSN 730540 v platném znění.</w:t>
      </w:r>
      <w:r>
        <w:rPr>
          <w:rFonts w:cs="Tahoma"/>
        </w:rPr>
        <w:t xml:space="preserve"> </w:t>
      </w:r>
      <w:r w:rsidRPr="00AF24D1">
        <w:rPr>
          <w:rFonts w:cs="Tahoma"/>
        </w:rPr>
        <w:t>Při výpočt</w:t>
      </w:r>
      <w:r>
        <w:rPr>
          <w:rFonts w:cs="Tahoma"/>
        </w:rPr>
        <w:t>u</w:t>
      </w:r>
      <w:r w:rsidRPr="00AF24D1">
        <w:rPr>
          <w:rFonts w:cs="Tahoma"/>
        </w:rPr>
        <w:t xml:space="preserve"> tepelných ztrát se uvažuje s nuceným větráním místností podle části PD VZT. </w:t>
      </w:r>
    </w:p>
    <w:p w:rsidR="0058740F" w:rsidRDefault="0058740F" w:rsidP="0058740F">
      <w:pPr>
        <w:rPr>
          <w:rFonts w:cs="Arial"/>
          <w:kern w:val="28"/>
          <w:szCs w:val="22"/>
        </w:rPr>
      </w:pPr>
    </w:p>
    <w:p w:rsidR="0058740F" w:rsidRDefault="0058740F" w:rsidP="0058740F">
      <w:pPr>
        <w:rPr>
          <w:rFonts w:cs="Arial"/>
          <w:kern w:val="28"/>
          <w:szCs w:val="22"/>
        </w:rPr>
      </w:pPr>
    </w:p>
    <w:p w:rsidR="0058740F" w:rsidRPr="006C0310" w:rsidRDefault="0058740F" w:rsidP="0058740F">
      <w:pPr>
        <w:rPr>
          <w:rFonts w:cs="Arial"/>
          <w:b/>
          <w:kern w:val="28"/>
          <w:szCs w:val="22"/>
        </w:rPr>
      </w:pPr>
      <w:r w:rsidRPr="006C0310">
        <w:rPr>
          <w:rFonts w:cs="Arial"/>
          <w:b/>
          <w:kern w:val="28"/>
          <w:szCs w:val="22"/>
        </w:rPr>
        <w:t>Potřeba tepla hodinová:</w:t>
      </w:r>
    </w:p>
    <w:p w:rsidR="0058740F" w:rsidRPr="00AF24D1" w:rsidRDefault="0058740F" w:rsidP="0058740F">
      <w:pPr>
        <w:rPr>
          <w:rFonts w:cs="Arial"/>
          <w:kern w:val="28"/>
          <w:szCs w:val="22"/>
        </w:rPr>
      </w:pPr>
    </w:p>
    <w:p w:rsidR="0058740F" w:rsidRPr="00D00442" w:rsidRDefault="00585C93" w:rsidP="0058740F">
      <w:pPr>
        <w:tabs>
          <w:tab w:val="left" w:pos="5670"/>
        </w:tabs>
        <w:overflowPunct w:val="0"/>
        <w:autoSpaceDE w:val="0"/>
        <w:autoSpaceDN w:val="0"/>
        <w:adjustRightInd w:val="0"/>
        <w:spacing w:after="60" w:line="240" w:lineRule="atLeast"/>
        <w:rPr>
          <w:rFonts w:cs="Arial"/>
          <w:kern w:val="28"/>
          <w:szCs w:val="22"/>
        </w:rPr>
      </w:pPr>
      <w:r>
        <w:rPr>
          <w:rFonts w:cs="Arial"/>
          <w:kern w:val="28"/>
          <w:szCs w:val="22"/>
        </w:rPr>
        <w:tab/>
      </w:r>
    </w:p>
    <w:p w:rsidR="0058740F" w:rsidRPr="0058740F" w:rsidRDefault="0058740F" w:rsidP="0058740F">
      <w:pPr>
        <w:tabs>
          <w:tab w:val="left" w:pos="5670"/>
        </w:tabs>
        <w:overflowPunct w:val="0"/>
        <w:autoSpaceDE w:val="0"/>
        <w:autoSpaceDN w:val="0"/>
        <w:adjustRightInd w:val="0"/>
        <w:spacing w:after="60" w:line="240" w:lineRule="atLeast"/>
        <w:rPr>
          <w:rFonts w:cs="Arial"/>
          <w:kern w:val="28"/>
          <w:szCs w:val="22"/>
          <w:u w:val="single"/>
        </w:rPr>
      </w:pPr>
      <w:r w:rsidRPr="0058740F">
        <w:rPr>
          <w:rFonts w:cs="Arial"/>
          <w:kern w:val="28"/>
          <w:szCs w:val="22"/>
          <w:u w:val="single"/>
        </w:rPr>
        <w:t>pro ohřev VZT jednotek s teplovodním ohřevem</w:t>
      </w:r>
      <w:r w:rsidRPr="0058740F">
        <w:rPr>
          <w:rFonts w:cs="Arial"/>
          <w:kern w:val="28"/>
          <w:szCs w:val="22"/>
          <w:u w:val="single"/>
        </w:rPr>
        <w:tab/>
        <w:t>Q</w:t>
      </w:r>
      <w:r w:rsidRPr="0058740F">
        <w:rPr>
          <w:rFonts w:cs="Arial"/>
          <w:kern w:val="28"/>
          <w:szCs w:val="22"/>
          <w:u w:val="single"/>
          <w:vertAlign w:val="subscript"/>
        </w:rPr>
        <w:t>VZT</w:t>
      </w:r>
      <w:r w:rsidRPr="0058740F">
        <w:rPr>
          <w:rFonts w:cs="Arial"/>
          <w:kern w:val="28"/>
          <w:szCs w:val="22"/>
          <w:u w:val="single"/>
        </w:rPr>
        <w:t xml:space="preserve"> = 124 kW</w:t>
      </w:r>
    </w:p>
    <w:p w:rsidR="0058740F" w:rsidRPr="00585C93" w:rsidRDefault="0058740F" w:rsidP="0058740F">
      <w:pPr>
        <w:tabs>
          <w:tab w:val="left" w:pos="5670"/>
        </w:tabs>
        <w:overflowPunct w:val="0"/>
        <w:autoSpaceDE w:val="0"/>
        <w:autoSpaceDN w:val="0"/>
        <w:adjustRightInd w:val="0"/>
        <w:spacing w:after="60" w:line="240" w:lineRule="atLeast"/>
        <w:rPr>
          <w:rFonts w:cs="Arial"/>
          <w:b/>
          <w:kern w:val="28"/>
          <w:szCs w:val="22"/>
        </w:rPr>
      </w:pPr>
      <w:r w:rsidRPr="00585C93">
        <w:rPr>
          <w:rFonts w:cs="Arial"/>
          <w:b/>
          <w:kern w:val="28"/>
          <w:szCs w:val="22"/>
        </w:rPr>
        <w:t>Celkem:</w:t>
      </w:r>
      <w:r w:rsidRPr="00585C93">
        <w:rPr>
          <w:rFonts w:cs="Arial"/>
          <w:b/>
          <w:kern w:val="28"/>
          <w:szCs w:val="22"/>
        </w:rPr>
        <w:tab/>
        <w:t xml:space="preserve"> </w:t>
      </w:r>
      <w:r w:rsidR="00585C93" w:rsidRPr="00585C93">
        <w:rPr>
          <w:rFonts w:cs="Arial"/>
          <w:b/>
          <w:kern w:val="28"/>
          <w:szCs w:val="22"/>
        </w:rPr>
        <w:t>Q</w:t>
      </w:r>
      <w:r w:rsidR="00585C93" w:rsidRPr="00585C93">
        <w:rPr>
          <w:rFonts w:cs="Arial"/>
          <w:b/>
          <w:kern w:val="28"/>
          <w:szCs w:val="22"/>
          <w:vertAlign w:val="subscript"/>
        </w:rPr>
        <w:t>celk</w:t>
      </w:r>
      <w:r w:rsidRPr="00585C93">
        <w:rPr>
          <w:rFonts w:cs="Arial"/>
          <w:b/>
          <w:kern w:val="28"/>
          <w:szCs w:val="22"/>
        </w:rPr>
        <w:t xml:space="preserve"> =</w:t>
      </w:r>
      <w:r w:rsidR="00585C93" w:rsidRPr="00585C93">
        <w:rPr>
          <w:rFonts w:cs="Arial"/>
          <w:b/>
          <w:kern w:val="28"/>
          <w:szCs w:val="22"/>
        </w:rPr>
        <w:t xml:space="preserve"> </w:t>
      </w:r>
      <w:r w:rsidRPr="00585C93">
        <w:rPr>
          <w:rFonts w:cs="Arial"/>
          <w:b/>
          <w:kern w:val="28"/>
          <w:szCs w:val="22"/>
        </w:rPr>
        <w:t>124 kW</w:t>
      </w:r>
    </w:p>
    <w:p w:rsidR="0058740F" w:rsidRDefault="0058740F" w:rsidP="0058740F">
      <w:pPr>
        <w:tabs>
          <w:tab w:val="left" w:pos="5670"/>
        </w:tabs>
        <w:overflowPunct w:val="0"/>
        <w:autoSpaceDE w:val="0"/>
        <w:autoSpaceDN w:val="0"/>
        <w:adjustRightInd w:val="0"/>
        <w:spacing w:after="60" w:line="240" w:lineRule="atLeast"/>
        <w:rPr>
          <w:rFonts w:cs="Arial"/>
          <w:kern w:val="28"/>
          <w:szCs w:val="22"/>
        </w:rPr>
      </w:pPr>
    </w:p>
    <w:p w:rsidR="0058740F" w:rsidRDefault="0058740F" w:rsidP="0058740F">
      <w:pPr>
        <w:tabs>
          <w:tab w:val="left" w:pos="5670"/>
        </w:tabs>
        <w:overflowPunct w:val="0"/>
        <w:autoSpaceDE w:val="0"/>
        <w:autoSpaceDN w:val="0"/>
        <w:adjustRightInd w:val="0"/>
        <w:spacing w:after="60" w:line="240" w:lineRule="atLeast"/>
        <w:rPr>
          <w:rFonts w:cs="Arial"/>
          <w:kern w:val="28"/>
          <w:szCs w:val="22"/>
        </w:rPr>
      </w:pPr>
    </w:p>
    <w:p w:rsidR="0058740F" w:rsidRPr="00CB024D" w:rsidRDefault="0058740F" w:rsidP="0058740F">
      <w:pPr>
        <w:spacing w:before="120" w:after="0"/>
        <w:ind w:left="426" w:firstLine="0"/>
        <w:contextualSpacing w:val="0"/>
        <w:rPr>
          <w:rFonts w:cs="Tahoma"/>
        </w:rPr>
      </w:pPr>
      <w:r w:rsidRPr="00CB024D">
        <w:rPr>
          <w:rFonts w:cs="Tahoma"/>
        </w:rPr>
        <w:t>Stanovení přípojné hodnoty pro zdroj tepla podle ČSN 06 310:</w:t>
      </w:r>
    </w:p>
    <w:p w:rsidR="0058740F" w:rsidRPr="00CB024D" w:rsidRDefault="0058740F" w:rsidP="0058740F">
      <w:pPr>
        <w:spacing w:before="120" w:after="0"/>
        <w:ind w:firstLine="0"/>
        <w:contextualSpacing w:val="0"/>
        <w:rPr>
          <w:rFonts w:cs="Tahoma"/>
        </w:rPr>
      </w:pPr>
      <w:r w:rsidRPr="00CB024D">
        <w:rPr>
          <w:rFonts w:cs="Tahoma"/>
        </w:rPr>
        <w:t xml:space="preserve">      Q</w:t>
      </w:r>
      <w:r w:rsidRPr="00CB024D">
        <w:rPr>
          <w:rFonts w:cs="Tahoma"/>
          <w:vertAlign w:val="subscript"/>
        </w:rPr>
        <w:t>prip</w:t>
      </w:r>
      <w:r w:rsidRPr="00CB024D">
        <w:rPr>
          <w:rFonts w:cs="Tahoma"/>
        </w:rPr>
        <w:t>1= 0,7x (Q</w:t>
      </w:r>
      <w:r w:rsidRPr="00CB024D">
        <w:rPr>
          <w:rFonts w:cs="Tahoma"/>
          <w:vertAlign w:val="subscript"/>
        </w:rPr>
        <w:t>TOP</w:t>
      </w:r>
      <w:r w:rsidRPr="00CB024D">
        <w:rPr>
          <w:rFonts w:cs="Tahoma"/>
        </w:rPr>
        <w:t xml:space="preserve"> + Q</w:t>
      </w:r>
      <w:r w:rsidRPr="00CB024D">
        <w:rPr>
          <w:rFonts w:cs="Tahoma"/>
          <w:vertAlign w:val="subscript"/>
        </w:rPr>
        <w:t>VET</w:t>
      </w:r>
      <w:r w:rsidRPr="00CB024D">
        <w:rPr>
          <w:rFonts w:cs="Tahoma"/>
        </w:rPr>
        <w:t>) + Q</w:t>
      </w:r>
      <w:r w:rsidRPr="00CB024D">
        <w:rPr>
          <w:rFonts w:cs="Tahoma"/>
          <w:vertAlign w:val="subscript"/>
        </w:rPr>
        <w:t>TV</w:t>
      </w:r>
      <w:r w:rsidRPr="00CB024D">
        <w:rPr>
          <w:rFonts w:cs="Tahoma"/>
        </w:rPr>
        <w:t xml:space="preserve"> = 0,7x (</w:t>
      </w:r>
      <w:r w:rsidR="00585C93">
        <w:rPr>
          <w:rFonts w:cs="Tahoma"/>
        </w:rPr>
        <w:t>0</w:t>
      </w:r>
      <w:r w:rsidRPr="00CB024D">
        <w:rPr>
          <w:rFonts w:cs="Tahoma"/>
        </w:rPr>
        <w:t xml:space="preserve">+ </w:t>
      </w:r>
      <w:r w:rsidR="00585C93">
        <w:rPr>
          <w:rFonts w:cs="Tahoma"/>
        </w:rPr>
        <w:t>124</w:t>
      </w:r>
      <w:r w:rsidRPr="00CB024D">
        <w:rPr>
          <w:rFonts w:cs="Tahoma"/>
        </w:rPr>
        <w:t xml:space="preserve">) + 0 = </w:t>
      </w:r>
      <w:r w:rsidR="00585C93">
        <w:rPr>
          <w:rFonts w:cs="Tahoma"/>
        </w:rPr>
        <w:t>86,8</w:t>
      </w:r>
      <w:r w:rsidRPr="00CB024D">
        <w:rPr>
          <w:rFonts w:cs="Tahoma"/>
        </w:rPr>
        <w:t xml:space="preserve"> kW</w:t>
      </w:r>
    </w:p>
    <w:p w:rsidR="0058740F" w:rsidRPr="00CB024D" w:rsidRDefault="0058740F" w:rsidP="0058740F">
      <w:pPr>
        <w:spacing w:before="120" w:after="0"/>
        <w:ind w:firstLine="0"/>
        <w:contextualSpacing w:val="0"/>
        <w:rPr>
          <w:rFonts w:cs="Tahoma"/>
        </w:rPr>
      </w:pPr>
      <w:r w:rsidRPr="00CB024D">
        <w:rPr>
          <w:rFonts w:cs="Tahoma"/>
        </w:rPr>
        <w:t xml:space="preserve">      Q</w:t>
      </w:r>
      <w:r w:rsidRPr="00CB024D">
        <w:rPr>
          <w:rFonts w:cs="Tahoma"/>
          <w:vertAlign w:val="subscript"/>
        </w:rPr>
        <w:t>prip2</w:t>
      </w:r>
      <w:r w:rsidRPr="00CB024D">
        <w:rPr>
          <w:rFonts w:cs="Tahoma"/>
        </w:rPr>
        <w:t>= 1x Q</w:t>
      </w:r>
      <w:r w:rsidRPr="00CB024D">
        <w:rPr>
          <w:rFonts w:cs="Tahoma"/>
          <w:vertAlign w:val="subscript"/>
        </w:rPr>
        <w:t>TOP</w:t>
      </w:r>
      <w:r w:rsidRPr="00CB024D">
        <w:rPr>
          <w:rFonts w:cs="Tahoma"/>
        </w:rPr>
        <w:t xml:space="preserve"> + 1x Q</w:t>
      </w:r>
      <w:r w:rsidRPr="00CB024D">
        <w:rPr>
          <w:rFonts w:cs="Tahoma"/>
          <w:vertAlign w:val="subscript"/>
        </w:rPr>
        <w:t>VET</w:t>
      </w:r>
      <w:r w:rsidRPr="00CB024D">
        <w:rPr>
          <w:rFonts w:cs="Tahoma"/>
        </w:rPr>
        <w:t xml:space="preserve"> = </w:t>
      </w:r>
      <w:r w:rsidR="00585C93">
        <w:rPr>
          <w:rFonts w:cs="Tahoma"/>
        </w:rPr>
        <w:t>0</w:t>
      </w:r>
      <w:r w:rsidRPr="00CB024D">
        <w:rPr>
          <w:rFonts w:cs="Tahoma"/>
        </w:rPr>
        <w:t>+</w:t>
      </w:r>
      <w:r>
        <w:rPr>
          <w:rFonts w:cs="Tahoma"/>
        </w:rPr>
        <w:t xml:space="preserve"> </w:t>
      </w:r>
      <w:r w:rsidR="00585C93">
        <w:rPr>
          <w:rFonts w:cs="Tahoma"/>
        </w:rPr>
        <w:t>124</w:t>
      </w:r>
      <w:r w:rsidRPr="00CB024D">
        <w:rPr>
          <w:rFonts w:cs="Tahoma"/>
        </w:rPr>
        <w:t xml:space="preserve"> = </w:t>
      </w:r>
      <w:r>
        <w:rPr>
          <w:rFonts w:cs="Tahoma"/>
        </w:rPr>
        <w:t>1</w:t>
      </w:r>
      <w:r w:rsidR="00585C93">
        <w:rPr>
          <w:rFonts w:cs="Tahoma"/>
        </w:rPr>
        <w:t>24</w:t>
      </w:r>
      <w:r w:rsidRPr="00CB024D">
        <w:rPr>
          <w:rFonts w:cs="Tahoma"/>
        </w:rPr>
        <w:t xml:space="preserve"> kW</w:t>
      </w:r>
    </w:p>
    <w:p w:rsidR="0058740F" w:rsidRPr="00CB024D" w:rsidRDefault="0058740F" w:rsidP="0058740F">
      <w:pPr>
        <w:spacing w:before="120" w:after="0"/>
        <w:ind w:left="426" w:firstLine="0"/>
        <w:contextualSpacing w:val="0"/>
        <w:rPr>
          <w:rFonts w:cs="Tahoma"/>
        </w:rPr>
      </w:pPr>
      <w:r w:rsidRPr="00CB024D">
        <w:rPr>
          <w:rFonts w:cs="Tahoma"/>
        </w:rPr>
        <w:lastRenderedPageBreak/>
        <w:t xml:space="preserve">Jako hlavní zdroj tepla je navržena </w:t>
      </w:r>
      <w:r>
        <w:rPr>
          <w:rFonts w:cs="Tahoma"/>
        </w:rPr>
        <w:t xml:space="preserve">kompaktní </w:t>
      </w:r>
      <w:r w:rsidRPr="00CB024D">
        <w:rPr>
          <w:rFonts w:cs="Tahoma"/>
        </w:rPr>
        <w:t xml:space="preserve">výměníková </w:t>
      </w:r>
      <w:r w:rsidR="00585C93" w:rsidRPr="00CB024D">
        <w:rPr>
          <w:rFonts w:cs="Tahoma"/>
        </w:rPr>
        <w:t xml:space="preserve">stanice </w:t>
      </w:r>
      <w:r w:rsidR="00585C93">
        <w:rPr>
          <w:rFonts w:cs="Tahoma"/>
        </w:rPr>
        <w:t xml:space="preserve">- viz. </w:t>
      </w:r>
      <w:r w:rsidR="00585C93" w:rsidRPr="00585C93">
        <w:rPr>
          <w:rFonts w:cs="Tahoma"/>
        </w:rPr>
        <w:t>SOD IV Objekty oprav a údržby tramvají (OUT)</w:t>
      </w:r>
    </w:p>
    <w:p w:rsidR="0058740F" w:rsidRPr="006C0310" w:rsidRDefault="0058740F" w:rsidP="0058740F">
      <w:pPr>
        <w:rPr>
          <w:rFonts w:cs="Arial"/>
          <w:b/>
          <w:kern w:val="28"/>
          <w:szCs w:val="22"/>
        </w:rPr>
      </w:pPr>
    </w:p>
    <w:p w:rsidR="0058740F" w:rsidRPr="00C2746B" w:rsidRDefault="0058740F" w:rsidP="0058740F">
      <w:pPr>
        <w:pStyle w:val="Normlnweb"/>
        <w:spacing w:before="0" w:beforeAutospacing="0" w:after="0" w:afterAutospacing="0" w:line="276" w:lineRule="auto"/>
        <w:ind w:firstLine="397"/>
        <w:rPr>
          <w:rFonts w:ascii="Arial" w:hAnsi="Arial" w:cs="Arial"/>
          <w:sz w:val="22"/>
          <w:szCs w:val="22"/>
        </w:rPr>
      </w:pPr>
      <w:r w:rsidRPr="00C2746B">
        <w:rPr>
          <w:rFonts w:ascii="Arial" w:hAnsi="Arial" w:cs="Arial"/>
          <w:sz w:val="22"/>
          <w:szCs w:val="22"/>
        </w:rPr>
        <w:t>Roční spotřeba energie na vytápění:</w:t>
      </w:r>
      <w:r w:rsidRPr="00C2746B">
        <w:rPr>
          <w:rFonts w:ascii="Arial" w:hAnsi="Arial" w:cs="Arial"/>
          <w:sz w:val="22"/>
          <w:szCs w:val="22"/>
        </w:rPr>
        <w:tab/>
      </w:r>
      <w:r w:rsidRPr="00C2746B">
        <w:rPr>
          <w:rFonts w:ascii="Arial" w:hAnsi="Arial" w:cs="Arial"/>
          <w:sz w:val="22"/>
          <w:szCs w:val="22"/>
        </w:rPr>
        <w:tab/>
      </w:r>
      <w:r w:rsidRPr="00C2746B">
        <w:rPr>
          <w:rFonts w:ascii="Arial" w:hAnsi="Arial" w:cs="Arial"/>
          <w:sz w:val="22"/>
          <w:szCs w:val="22"/>
        </w:rPr>
        <w:tab/>
      </w:r>
      <w:r w:rsidR="005F13FF">
        <w:rPr>
          <w:rFonts w:ascii="Arial" w:hAnsi="Arial" w:cs="Arial"/>
          <w:sz w:val="22"/>
          <w:szCs w:val="22"/>
        </w:rPr>
        <w:tab/>
      </w:r>
      <w:r w:rsidR="00585C93">
        <w:rPr>
          <w:rFonts w:ascii="Arial" w:hAnsi="Arial" w:cs="Arial"/>
          <w:sz w:val="22"/>
          <w:szCs w:val="22"/>
        </w:rPr>
        <w:t>54 558,7</w:t>
      </w:r>
      <w:r w:rsidRPr="00C2746B">
        <w:rPr>
          <w:rFonts w:ascii="Arial" w:hAnsi="Arial" w:cs="Arial"/>
          <w:sz w:val="22"/>
          <w:szCs w:val="22"/>
        </w:rPr>
        <w:t xml:space="preserve"> kWh/rok = </w:t>
      </w:r>
      <w:r w:rsidR="00585C93">
        <w:rPr>
          <w:rFonts w:ascii="Arial" w:hAnsi="Arial" w:cs="Arial"/>
          <w:sz w:val="22"/>
          <w:szCs w:val="22"/>
        </w:rPr>
        <w:t>196,4</w:t>
      </w:r>
      <w:r w:rsidRPr="00C2746B">
        <w:rPr>
          <w:rFonts w:ascii="Arial" w:hAnsi="Arial" w:cs="Arial"/>
          <w:sz w:val="22"/>
          <w:szCs w:val="22"/>
        </w:rPr>
        <w:t xml:space="preserve"> GJ </w:t>
      </w:r>
    </w:p>
    <w:p w:rsidR="0058740F" w:rsidRPr="00C2746B" w:rsidRDefault="0058740F" w:rsidP="0058740F">
      <w:pPr>
        <w:rPr>
          <w:rFonts w:cs="Arial"/>
          <w:szCs w:val="22"/>
        </w:rPr>
      </w:pPr>
      <w:r w:rsidRPr="00C2746B">
        <w:rPr>
          <w:rFonts w:cs="Arial"/>
          <w:szCs w:val="22"/>
        </w:rPr>
        <w:t>(Výpočet potřeby tepla podle ČSN EN ISO 13790)</w:t>
      </w:r>
    </w:p>
    <w:p w:rsidR="0058740F" w:rsidRPr="00C2746B" w:rsidRDefault="0058740F" w:rsidP="0058740F">
      <w:pPr>
        <w:rPr>
          <w:rFonts w:cs="Arial"/>
          <w:szCs w:val="22"/>
        </w:rPr>
      </w:pPr>
    </w:p>
    <w:p w:rsidR="0058740F" w:rsidRPr="00C2746B" w:rsidRDefault="0058740F" w:rsidP="0058740F">
      <w:pPr>
        <w:pStyle w:val="Normlnweb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</w:p>
    <w:p w:rsidR="0058740F" w:rsidRPr="00814B79" w:rsidRDefault="0058740F" w:rsidP="00585C93">
      <w:pPr>
        <w:pStyle w:val="Normlnweb"/>
        <w:spacing w:before="0" w:beforeAutospacing="0" w:after="0" w:afterAutospacing="0" w:line="276" w:lineRule="auto"/>
        <w:ind w:firstLine="397"/>
        <w:rPr>
          <w:rFonts w:ascii="Arial" w:hAnsi="Arial" w:cs="Arial"/>
        </w:rPr>
      </w:pPr>
      <w:r w:rsidRPr="00C2746B">
        <w:rPr>
          <w:rFonts w:ascii="Arial" w:hAnsi="Arial" w:cs="Arial"/>
          <w:b/>
          <w:sz w:val="22"/>
          <w:szCs w:val="22"/>
        </w:rPr>
        <w:t>Celková roční spotřeba energie:</w:t>
      </w:r>
      <w:r w:rsidRPr="00C2746B">
        <w:rPr>
          <w:rFonts w:ascii="Arial" w:hAnsi="Arial" w:cs="Arial"/>
          <w:b/>
          <w:sz w:val="22"/>
          <w:szCs w:val="22"/>
        </w:rPr>
        <w:tab/>
      </w:r>
      <w:r w:rsidRPr="00C2746B">
        <w:rPr>
          <w:rFonts w:ascii="Arial" w:hAnsi="Arial" w:cs="Arial"/>
          <w:b/>
          <w:sz w:val="22"/>
          <w:szCs w:val="22"/>
        </w:rPr>
        <w:tab/>
      </w:r>
      <w:r w:rsidRPr="00C2746B">
        <w:rPr>
          <w:rFonts w:ascii="Arial" w:hAnsi="Arial" w:cs="Arial"/>
          <w:b/>
          <w:sz w:val="22"/>
          <w:szCs w:val="22"/>
        </w:rPr>
        <w:tab/>
      </w:r>
      <w:r w:rsidR="00585C93" w:rsidRPr="00C2746B">
        <w:rPr>
          <w:rFonts w:ascii="Arial" w:hAnsi="Arial" w:cs="Arial"/>
          <w:b/>
          <w:sz w:val="22"/>
          <w:szCs w:val="22"/>
        </w:rPr>
        <w:tab/>
        <w:t xml:space="preserve"> 54</w:t>
      </w:r>
      <w:r w:rsidR="00585C93">
        <w:rPr>
          <w:rFonts w:ascii="Arial" w:hAnsi="Arial" w:cs="Arial"/>
          <w:b/>
          <w:sz w:val="22"/>
          <w:szCs w:val="22"/>
        </w:rPr>
        <w:t> 558,7 kWh/rok = 196,4 GJ</w:t>
      </w:r>
      <w:r w:rsidRPr="00D04C30">
        <w:rPr>
          <w:rFonts w:ascii="Arial" w:hAnsi="Arial" w:cs="Arial"/>
        </w:rPr>
        <w:t xml:space="preserve"> </w:t>
      </w:r>
    </w:p>
    <w:p w:rsidR="0058740F" w:rsidRPr="0058740F" w:rsidRDefault="0058740F" w:rsidP="0058740F"/>
    <w:p w:rsidR="00E717CF" w:rsidRPr="0032584A" w:rsidRDefault="00E717CF" w:rsidP="00C4423E">
      <w:pPr>
        <w:pStyle w:val="Nadpis2"/>
      </w:pPr>
      <w:bookmarkStart w:id="21" w:name="_Toc1040356"/>
      <w:bookmarkStart w:id="22" w:name="_Toc24470312"/>
      <w:r>
        <w:t>Teplovzdušné vytápění a haly údržby</w:t>
      </w:r>
      <w:bookmarkEnd w:id="21"/>
      <w:bookmarkEnd w:id="22"/>
    </w:p>
    <w:p w:rsidR="00E717CF" w:rsidRDefault="00E717CF" w:rsidP="00E717CF">
      <w:pPr>
        <w:tabs>
          <w:tab w:val="left" w:pos="4536"/>
        </w:tabs>
        <w:ind w:left="426"/>
        <w:rPr>
          <w:rFonts w:cs="Tahoma"/>
          <w:szCs w:val="22"/>
        </w:rPr>
      </w:pPr>
      <w:r>
        <w:rPr>
          <w:rFonts w:cs="Tahoma"/>
          <w:szCs w:val="22"/>
        </w:rPr>
        <w:t xml:space="preserve">V hale odstavů je navrženo vytápění </w:t>
      </w:r>
      <w:r w:rsidR="00F111DE">
        <w:rPr>
          <w:rFonts w:cs="Tahoma"/>
          <w:szCs w:val="22"/>
        </w:rPr>
        <w:t>pomocí 4x VZT jednotek</w:t>
      </w:r>
      <w:r>
        <w:rPr>
          <w:rFonts w:cs="Tahoma"/>
          <w:szCs w:val="22"/>
        </w:rPr>
        <w:t xml:space="preserve"> č. 1</w:t>
      </w:r>
      <w:r w:rsidR="00F111DE">
        <w:rPr>
          <w:rFonts w:cs="Tahoma"/>
          <w:szCs w:val="22"/>
        </w:rPr>
        <w:t>2</w:t>
      </w:r>
      <w:r>
        <w:rPr>
          <w:rFonts w:cs="Tahoma"/>
          <w:szCs w:val="22"/>
        </w:rPr>
        <w:t>.</w:t>
      </w:r>
      <w:r w:rsidR="00F111DE">
        <w:rPr>
          <w:rFonts w:cs="Tahoma"/>
          <w:szCs w:val="22"/>
        </w:rPr>
        <w:t>00</w:t>
      </w:r>
      <w:r>
        <w:rPr>
          <w:rFonts w:cs="Tahoma"/>
          <w:szCs w:val="22"/>
        </w:rPr>
        <w:t>1</w:t>
      </w:r>
      <w:r w:rsidR="00F111DE">
        <w:rPr>
          <w:rFonts w:cs="Tahoma"/>
          <w:szCs w:val="22"/>
        </w:rPr>
        <w:t xml:space="preserve"> až 12.004, které</w:t>
      </w:r>
      <w:r>
        <w:rPr>
          <w:rFonts w:cs="Tahoma"/>
          <w:szCs w:val="22"/>
        </w:rPr>
        <w:t xml:space="preserve"> j</w:t>
      </w:r>
      <w:r w:rsidR="00F111DE">
        <w:rPr>
          <w:rFonts w:cs="Tahoma"/>
          <w:szCs w:val="22"/>
        </w:rPr>
        <w:t>sou umístěné</w:t>
      </w:r>
      <w:r>
        <w:rPr>
          <w:rFonts w:cs="Tahoma"/>
          <w:szCs w:val="22"/>
        </w:rPr>
        <w:t xml:space="preserve"> na střeše </w:t>
      </w:r>
      <w:r w:rsidR="00F111DE">
        <w:rPr>
          <w:rFonts w:cs="Tahoma"/>
          <w:szCs w:val="22"/>
        </w:rPr>
        <w:t>objektu.</w:t>
      </w:r>
    </w:p>
    <w:p w:rsidR="00F111DE" w:rsidRDefault="00F111DE" w:rsidP="00E717CF">
      <w:pPr>
        <w:tabs>
          <w:tab w:val="left" w:pos="4536"/>
        </w:tabs>
        <w:ind w:left="426"/>
        <w:rPr>
          <w:rFonts w:cs="Tahoma"/>
          <w:szCs w:val="22"/>
        </w:rPr>
      </w:pPr>
    </w:p>
    <w:p w:rsidR="00E717CF" w:rsidRPr="0032584A" w:rsidRDefault="00E717CF" w:rsidP="00C4423E">
      <w:pPr>
        <w:pStyle w:val="Nadpis2"/>
      </w:pPr>
      <w:bookmarkStart w:id="23" w:name="_Toc1040357"/>
      <w:bookmarkStart w:id="24" w:name="_Toc24470313"/>
      <w:r>
        <w:t>Napojení VZT jednotek</w:t>
      </w:r>
      <w:bookmarkEnd w:id="23"/>
      <w:bookmarkEnd w:id="24"/>
    </w:p>
    <w:p w:rsidR="00E717CF" w:rsidRDefault="00E717CF" w:rsidP="00E717CF">
      <w:pPr>
        <w:tabs>
          <w:tab w:val="left" w:pos="4536"/>
        </w:tabs>
        <w:ind w:left="426"/>
        <w:rPr>
          <w:rFonts w:cs="Tahoma"/>
          <w:szCs w:val="22"/>
        </w:rPr>
      </w:pPr>
      <w:bookmarkStart w:id="25" w:name="_Toc526950207"/>
      <w:bookmarkStart w:id="26" w:name="_Toc528071051"/>
      <w:r w:rsidRPr="00CC0342">
        <w:rPr>
          <w:rFonts w:cs="Tahoma"/>
          <w:szCs w:val="22"/>
        </w:rPr>
        <w:t>Napojení VZT jednotek na otopnou soustavu j</w:t>
      </w:r>
      <w:r>
        <w:rPr>
          <w:rFonts w:cs="Tahoma"/>
          <w:szCs w:val="22"/>
        </w:rPr>
        <w:t>e</w:t>
      </w:r>
      <w:r w:rsidRPr="00CC0342">
        <w:rPr>
          <w:rFonts w:cs="Tahoma"/>
          <w:szCs w:val="22"/>
        </w:rPr>
        <w:t xml:space="preserve"> navržen</w:t>
      </w:r>
      <w:r>
        <w:rPr>
          <w:rFonts w:cs="Tahoma"/>
          <w:szCs w:val="22"/>
        </w:rPr>
        <w:t>o</w:t>
      </w:r>
      <w:r w:rsidRPr="00CC0342">
        <w:rPr>
          <w:rFonts w:cs="Tahoma"/>
          <w:szCs w:val="22"/>
        </w:rPr>
        <w:t xml:space="preserve"> přes připojovací uzle, které se skládají z tlakově nezávislých ventilů, oběhových čerpadel, statických vyvažovacích ventilů, zkratových zpětných klapek, filtrů znečistit a uzavíracích armatur. Připojovací uzle jsou navrženy pro každou VZT jednotku samostatně a jsou umístěny co nejblíž k vodním výměníkům VZT jednotek.</w:t>
      </w:r>
      <w:bookmarkEnd w:id="25"/>
      <w:bookmarkEnd w:id="26"/>
      <w:r w:rsidR="00585C93">
        <w:rPr>
          <w:rFonts w:cs="Tahoma"/>
          <w:szCs w:val="22"/>
        </w:rPr>
        <w:t xml:space="preserve"> </w:t>
      </w:r>
      <w:r w:rsidR="00585C93" w:rsidRPr="00585C93">
        <w:rPr>
          <w:rFonts w:cs="Tahoma"/>
          <w:szCs w:val="22"/>
        </w:rPr>
        <w:t xml:space="preserve">Potrubní propoj k venkovní VZT jednotce je ochráněn topnými samo-regulačními kabely </w:t>
      </w:r>
      <w:r w:rsidR="009D7E75">
        <w:rPr>
          <w:rFonts w:cs="Tahoma"/>
          <w:szCs w:val="22"/>
        </w:rPr>
        <w:t>(</w:t>
      </w:r>
      <w:r w:rsidR="00585C93" w:rsidRPr="00585C93">
        <w:rPr>
          <w:rFonts w:cs="Tahoma"/>
          <w:szCs w:val="22"/>
        </w:rPr>
        <w:t>dodávkou profese silnoproud, pro 100% jistotu, že ochrana proti zamrznutí bude funkční by měly být kabely zálohovány</w:t>
      </w:r>
      <w:r w:rsidR="009D7E75">
        <w:rPr>
          <w:rFonts w:cs="Tahoma"/>
          <w:szCs w:val="22"/>
        </w:rPr>
        <w:t xml:space="preserve">). </w:t>
      </w:r>
      <w:r w:rsidR="00585C93" w:rsidRPr="00585C93">
        <w:rPr>
          <w:rFonts w:cs="Tahoma"/>
          <w:szCs w:val="22"/>
        </w:rPr>
        <w:t>Rozhraní dodávek mezi VZT a UT směšovací uzel a napojení až po hrdla výměníku dodávka UT.</w:t>
      </w:r>
    </w:p>
    <w:p w:rsidR="009D7E75" w:rsidRDefault="009D7E75" w:rsidP="00E717CF">
      <w:pPr>
        <w:tabs>
          <w:tab w:val="left" w:pos="4536"/>
        </w:tabs>
        <w:ind w:left="426"/>
        <w:rPr>
          <w:rFonts w:cs="Tahoma"/>
          <w:szCs w:val="22"/>
        </w:rPr>
      </w:pPr>
    </w:p>
    <w:p w:rsidR="009D7E75" w:rsidRPr="009D7E75" w:rsidRDefault="009D7E75" w:rsidP="00F20213">
      <w:pPr>
        <w:pStyle w:val="Nadpis2"/>
      </w:pPr>
      <w:bookmarkStart w:id="27" w:name="_Toc1040467"/>
      <w:bookmarkStart w:id="28" w:name="_Toc24470314"/>
      <w:r w:rsidRPr="009D7E75">
        <w:t>Rozvody vytápění</w:t>
      </w:r>
      <w:bookmarkEnd w:id="27"/>
      <w:bookmarkEnd w:id="28"/>
    </w:p>
    <w:p w:rsidR="009D7E75" w:rsidRPr="009D7E75" w:rsidRDefault="009D7E75" w:rsidP="009D7E75">
      <w:pPr>
        <w:spacing w:before="120" w:after="0"/>
        <w:ind w:left="426" w:firstLine="0"/>
        <w:contextualSpacing w:val="0"/>
      </w:pPr>
      <w:r w:rsidRPr="009D7E75">
        <w:t xml:space="preserve">Potrubí je vedeno přednostně pod </w:t>
      </w:r>
      <w:r w:rsidR="00F20213" w:rsidRPr="009D7E75">
        <w:t>stropem,</w:t>
      </w:r>
      <w:r w:rsidRPr="009D7E75">
        <w:t xml:space="preserve"> resp. a po povrchu stěn. </w:t>
      </w:r>
    </w:p>
    <w:p w:rsidR="009D7E75" w:rsidRPr="009D7E75" w:rsidRDefault="009D7E75" w:rsidP="009D7E75">
      <w:pPr>
        <w:spacing w:before="120" w:after="0"/>
        <w:ind w:left="426" w:firstLine="0"/>
        <w:contextualSpacing w:val="0"/>
      </w:pPr>
      <w:r w:rsidRPr="009D7E75">
        <w:t>Veškeré prostupy potrubí stěnami a stropem jsou opatřeny prostupovými chráničkami. Prostupy požárními úseky budou provedeny ve shodě s požárními předpisy. Potrubí bude uloženo na stropních závěsech, na konzolích vetknutých do stěny, popř. kotvených do podlahy. Objímky a závěsy budou v dodávce potrubí.</w:t>
      </w:r>
    </w:p>
    <w:p w:rsidR="009D7E75" w:rsidRPr="009D7E75" w:rsidRDefault="009D7E75" w:rsidP="009D7E75">
      <w:pPr>
        <w:spacing w:before="120" w:after="0"/>
        <w:ind w:left="426" w:firstLine="0"/>
        <w:contextualSpacing w:val="0"/>
      </w:pPr>
      <w:r w:rsidRPr="009D7E75">
        <w:t xml:space="preserve">Tepelná dilatace potrubí bude zajištěna přirozenými ohyby trasy a pomocí U a L kompenzátorů. Potrubí bude na nejvyšším místě odvzdušněno automatickými odvzdušňovacími ventily a na nejnižším místě opatřeno vypouštěním. Rozvody ÚT budou provedeny v předepsaném spádu min. </w:t>
      </w:r>
      <w:r w:rsidR="00F20213" w:rsidRPr="009D7E75">
        <w:t>0,3 %</w:t>
      </w:r>
      <w:r w:rsidRPr="009D7E75">
        <w:t xml:space="preserve"> tak, aby byly řádně odvzdušnitelné a vypustitelné.</w:t>
      </w:r>
    </w:p>
    <w:p w:rsidR="009D7E75" w:rsidRPr="009D7E75" w:rsidRDefault="009D7E75" w:rsidP="009D7E75">
      <w:pPr>
        <w:spacing w:before="120" w:after="0"/>
        <w:ind w:left="426" w:firstLine="0"/>
        <w:contextualSpacing w:val="0"/>
      </w:pPr>
      <w:r w:rsidRPr="009D7E75">
        <w:t xml:space="preserve">Potrubí bude před montáží pečlivě vyčištěno a po montáži propláchnuto vodou. Doporučujeme osadit měřící a regulační armatury a zařízení až po řádném vypláchnutí systému. Závitové armatury se doporučují osadit v potrubí s rozebíratelnými spoji. </w:t>
      </w:r>
    </w:p>
    <w:p w:rsidR="009D7E75" w:rsidRPr="009D7E75" w:rsidRDefault="009D7E75" w:rsidP="009D7E75">
      <w:pPr>
        <w:spacing w:before="120" w:after="0"/>
        <w:ind w:left="426" w:firstLine="0"/>
        <w:contextualSpacing w:val="0"/>
      </w:pPr>
      <w:r w:rsidRPr="009D7E75">
        <w:t>O seřízení bude proveden protokol. Zaregulování otopné soustavy bude provedeno dle §7 odst. 6 vyhlášky č. 193/2007 Sb.</w:t>
      </w:r>
    </w:p>
    <w:p w:rsidR="009D7E75" w:rsidRPr="009D7E75" w:rsidRDefault="009D7E75" w:rsidP="009D7E75">
      <w:pPr>
        <w:tabs>
          <w:tab w:val="left" w:pos="4536"/>
        </w:tabs>
        <w:spacing w:before="120" w:after="0"/>
        <w:ind w:left="426" w:firstLine="0"/>
        <w:contextualSpacing w:val="0"/>
      </w:pPr>
      <w:r w:rsidRPr="009D7E75">
        <w:t>Tlaková hydraulická zkouška bude provedena dle ČSN EN 13 480-5. Doba zkoušení stanovena na 72 hodin.</w:t>
      </w:r>
    </w:p>
    <w:p w:rsidR="009D7E75" w:rsidRPr="009D7E75" w:rsidRDefault="009D7E75" w:rsidP="009D7E75">
      <w:pPr>
        <w:tabs>
          <w:tab w:val="left" w:pos="4536"/>
        </w:tabs>
        <w:spacing w:before="120" w:after="0"/>
        <w:ind w:left="426" w:firstLine="0"/>
        <w:contextualSpacing w:val="0"/>
      </w:pPr>
      <w:r w:rsidRPr="009D7E75">
        <w:t>Pomocné nosné konstrukce a ocelové rozvody budou opatřeny 1x základním a 2x vrchním nátěrem.</w:t>
      </w:r>
    </w:p>
    <w:p w:rsidR="009D7E75" w:rsidRPr="009D7E75" w:rsidRDefault="009D7E75" w:rsidP="009D7E75">
      <w:pPr>
        <w:tabs>
          <w:tab w:val="left" w:pos="4536"/>
        </w:tabs>
        <w:spacing w:before="120" w:after="0"/>
        <w:ind w:left="426" w:firstLine="0"/>
        <w:contextualSpacing w:val="0"/>
      </w:pPr>
      <w:r w:rsidRPr="009D7E75">
        <w:rPr>
          <w:rFonts w:cs="Arial"/>
          <w:b/>
          <w:kern w:val="28"/>
          <w:szCs w:val="22"/>
        </w:rPr>
        <w:t>Před realizací je potřeba provézt koordinace s ostatními profesemi.</w:t>
      </w:r>
    </w:p>
    <w:p w:rsidR="009D7E75" w:rsidRPr="009D7E75" w:rsidRDefault="009D7E75" w:rsidP="00F20213">
      <w:pPr>
        <w:pStyle w:val="Nadpis2"/>
      </w:pPr>
      <w:bookmarkStart w:id="29" w:name="_Toc1040468"/>
      <w:bookmarkStart w:id="30" w:name="_Toc24470315"/>
      <w:r w:rsidRPr="009D7E75">
        <w:lastRenderedPageBreak/>
        <w:t>Izolace potrubí</w:t>
      </w:r>
      <w:bookmarkEnd w:id="29"/>
      <w:bookmarkEnd w:id="30"/>
    </w:p>
    <w:p w:rsidR="009D7E75" w:rsidRPr="009D7E75" w:rsidRDefault="009D7E75" w:rsidP="009D7E75">
      <w:pPr>
        <w:spacing w:before="120" w:after="0"/>
        <w:ind w:left="426" w:firstLine="0"/>
        <w:contextualSpacing w:val="0"/>
        <w:rPr>
          <w:rFonts w:cs="Tahoma"/>
          <w:szCs w:val="22"/>
        </w:rPr>
      </w:pPr>
      <w:r w:rsidRPr="009D7E75">
        <w:rPr>
          <w:rFonts w:cs="Tahoma"/>
          <w:szCs w:val="22"/>
        </w:rPr>
        <w:t>Potrubí bude tepelně izolované tak, aby byla zaručena minimalizace ztrát tepla v souladu s   vyhl.č.193/2007 Sb.</w:t>
      </w:r>
    </w:p>
    <w:p w:rsidR="009D7E75" w:rsidRPr="009D7E75" w:rsidRDefault="009D7E75" w:rsidP="009D7E75">
      <w:pPr>
        <w:tabs>
          <w:tab w:val="left" w:pos="4536"/>
        </w:tabs>
        <w:spacing w:before="120" w:after="0"/>
        <w:ind w:left="426" w:firstLine="0"/>
        <w:contextualSpacing w:val="0"/>
        <w:rPr>
          <w:rFonts w:cs="Tahoma"/>
          <w:szCs w:val="22"/>
        </w:rPr>
      </w:pPr>
      <w:r w:rsidRPr="009D7E75">
        <w:rPr>
          <w:rFonts w:cs="Tahoma"/>
          <w:szCs w:val="22"/>
        </w:rPr>
        <w:t>Izolace musí mít tepelnou odolnost odpovídající max. možným teplotám, které se v systému mohou vyskytnout. Materiál a tloušťka by měla být zvolena ve smyslu §4 a §5 citované vyhlášky ministerstva průmyslu a obchodu s přihlédnutím na optimalizace tloušťky izolace k investičním nákladům a prostorovým nárokům.</w:t>
      </w:r>
    </w:p>
    <w:p w:rsidR="009D7E75" w:rsidRPr="009D7E75" w:rsidRDefault="009D7E75" w:rsidP="009D7E75">
      <w:pPr>
        <w:tabs>
          <w:tab w:val="left" w:pos="4536"/>
        </w:tabs>
        <w:spacing w:after="0"/>
        <w:ind w:left="426" w:firstLine="0"/>
        <w:contextualSpacing w:val="0"/>
        <w:rPr>
          <w:rFonts w:cs="Tahoma"/>
          <w:szCs w:val="22"/>
        </w:rPr>
      </w:pPr>
      <w:r w:rsidRPr="009D7E75">
        <w:rPr>
          <w:rFonts w:cs="Tahoma"/>
          <w:szCs w:val="22"/>
        </w:rPr>
        <w:t>Pro rozvody vytápění bude použita tepelná izolace z minerální vlny a hliníkovou fólií.</w:t>
      </w:r>
    </w:p>
    <w:p w:rsidR="009D7E75" w:rsidRPr="009D7E75" w:rsidRDefault="009D7E75" w:rsidP="009D7E75">
      <w:pPr>
        <w:keepNext/>
        <w:numPr>
          <w:ilvl w:val="1"/>
          <w:numId w:val="1"/>
        </w:numPr>
        <w:spacing w:before="240" w:after="0"/>
        <w:ind w:left="576"/>
        <w:contextualSpacing w:val="0"/>
        <w:jc w:val="left"/>
        <w:outlineLvl w:val="1"/>
        <w:rPr>
          <w:b/>
          <w:sz w:val="28"/>
        </w:rPr>
      </w:pPr>
      <w:bookmarkStart w:id="31" w:name="_Toc1040469"/>
      <w:bookmarkStart w:id="32" w:name="_Toc24470316"/>
      <w:r w:rsidRPr="009D7E75">
        <w:rPr>
          <w:b/>
          <w:sz w:val="28"/>
        </w:rPr>
        <w:t>Měření spotřeby energie</w:t>
      </w:r>
      <w:bookmarkEnd w:id="31"/>
      <w:bookmarkEnd w:id="32"/>
    </w:p>
    <w:p w:rsidR="00E717CF" w:rsidRPr="009D7E75" w:rsidRDefault="009D7E75" w:rsidP="009D7E75">
      <w:pPr>
        <w:tabs>
          <w:tab w:val="left" w:pos="4536"/>
        </w:tabs>
        <w:spacing w:before="120" w:after="0"/>
        <w:ind w:left="426" w:firstLine="0"/>
        <w:contextualSpacing w:val="0"/>
        <w:rPr>
          <w:rFonts w:cs="Tahoma"/>
          <w:szCs w:val="22"/>
        </w:rPr>
      </w:pPr>
      <w:r w:rsidRPr="009D7E75">
        <w:rPr>
          <w:rFonts w:cs="Tahoma"/>
          <w:szCs w:val="22"/>
        </w:rPr>
        <w:t xml:space="preserve">Měření spotřeby tepla je navrženo v části napojení na </w:t>
      </w:r>
      <w:r>
        <w:rPr>
          <w:rFonts w:cs="Tahoma"/>
          <w:szCs w:val="22"/>
        </w:rPr>
        <w:t>sekundární</w:t>
      </w:r>
      <w:r w:rsidRPr="009D7E75">
        <w:rPr>
          <w:rFonts w:cs="Tahoma"/>
          <w:szCs w:val="22"/>
        </w:rPr>
        <w:t xml:space="preserve"> okruh CZT</w:t>
      </w:r>
      <w:r>
        <w:rPr>
          <w:rFonts w:cs="Tahoma"/>
          <w:szCs w:val="22"/>
        </w:rPr>
        <w:t xml:space="preserve"> v části</w:t>
      </w:r>
      <w:r>
        <w:rPr>
          <w:rFonts w:cs="Tahoma"/>
        </w:rPr>
        <w:t xml:space="preserve"> </w:t>
      </w:r>
      <w:r w:rsidRPr="00585C93">
        <w:rPr>
          <w:rFonts w:cs="Tahoma"/>
        </w:rPr>
        <w:t>SOD IV Objekty oprav a údržby tramvají (OUT)</w:t>
      </w:r>
      <w:r>
        <w:rPr>
          <w:rFonts w:cs="Tahoma"/>
          <w:szCs w:val="22"/>
        </w:rPr>
        <w:t xml:space="preserve">. </w:t>
      </w:r>
    </w:p>
    <w:p w:rsidR="00E717CF" w:rsidRPr="00E717CF" w:rsidRDefault="00E717CF" w:rsidP="00F20213">
      <w:pPr>
        <w:pStyle w:val="Nadpis1"/>
      </w:pPr>
      <w:bookmarkStart w:id="33" w:name="_Toc1040358"/>
      <w:bookmarkStart w:id="34" w:name="_Toc24470317"/>
      <w:bookmarkStart w:id="35" w:name="_Toc467852830"/>
      <w:r w:rsidRPr="00E717CF">
        <w:t>shrnutí rozhodujících závěrů z pracovních porad včetně uvedení odkazu na dokladovou část</w:t>
      </w:r>
      <w:bookmarkEnd w:id="33"/>
      <w:bookmarkEnd w:id="34"/>
    </w:p>
    <w:p w:rsidR="00E717CF" w:rsidRPr="00E717CF" w:rsidRDefault="00E717CF" w:rsidP="00C4423E">
      <w:pPr>
        <w:pStyle w:val="Nadpis2"/>
      </w:pPr>
      <w:bookmarkStart w:id="36" w:name="_Toc340654674"/>
      <w:bookmarkStart w:id="37" w:name="_Toc503253743"/>
      <w:bookmarkStart w:id="38" w:name="_Toc1040359"/>
      <w:bookmarkStart w:id="39" w:name="_Toc24470318"/>
      <w:r w:rsidRPr="00E717CF">
        <w:t>DODRŽENÍ OBECNÝCH POŽADAVKŮ NA VÝSTAVBU</w:t>
      </w:r>
      <w:bookmarkEnd w:id="36"/>
      <w:bookmarkEnd w:id="37"/>
      <w:bookmarkEnd w:id="38"/>
      <w:bookmarkEnd w:id="39"/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Tato dokumentace vychází z dokumentace pro územní řízení.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Vlastní realizace stavebního díla musí být navržena a zhotovena v souladu s platnou legislativou tak, aby stavba při respektování hospodárnosti vhodné pro zamýšlené využití respektovala a současně splnila i základní požadavky na vlastnosti staveb, kterými jsou: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mechanická odolnost a stabilita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požární bezpečnost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ochrana zdraví, zdravých životních podmínek a životního prostředí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bezpečnost při užívání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ochrana proti hluku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- úspora energie a ochrana tepla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Projektová dokumentace ve svém řešení zohledňuje dodržení obecných požadavků na výstavbu a je v souladu s platnou legislativou.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Tato dokumentace vychází z dokumentace pro územní řízení. Veškeré změny, doplňky a specifické problémy je nutno konzultovat se zpracovatelem této dokumentace. 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Tato dokumentace slouží jako podklad projednání s DOSS a pro získání stavebního povolení, ale nenahrazuje další stupně dokumentace potřebné k realizaci díla. 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TECHNICKÁ ZPRÁVA JE NEDÍLNOU SOUČÁSTÍ VÝKRESOVÉ DOKUMENTACE. PROJEKTOVÁ DOKUMENTACE SE SKLÁDÁ Z ČÁSTI ARCHITEKTONICKO-STAVEBNÍ, STATICKÉ, TZB, A DALŠÍCH NAVAZUJÍCÍCH PROFESÍ A POSUDKŮ, PROTO JE JI NUTNO BRÁT JAKO CELEK.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Jednotlivé profesní části projektové dokumentace je nutno koordinovat se stavební částí a Požárně bezpečnostním řešením, které je součástí projektu DSP -  viz  část dokumentace B.3..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Pro stavbu je možné použít jen dlouhodobě osvědčené a prověřené technologie renomovaných výrobců, kteří garantují kvalitu, poskytují dlouhodobé záruky a jako systém jsou po celou dobu záruky pojištěny. Zároveň je nutno dbát technologických postupů a zejména návazností na okolní konstrukce.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lastRenderedPageBreak/>
        <w:t>Všechny technologické postupy budou prováděny podle technologických předpisů vybraných výrobních firem, v souladu s platnými technickými normami a bezpečnostními předpisy.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VEŠKERÉ VÝROBKY BUDOU PŘED ZADÁNÍM DO VÝROBY NEBO PŘED OBJEDNÁNÍ DODAVATELEM PŘEPOČÍTÁNY ROZMĚRY PŘEMĚŘENY A PŘÍSLUŠNÁ DÍLENSKÁ DOKUMENTACE DODAVATELE BUDE ODSOUHLASENA PROJEKTANTEM VE SPOLUPRÁCI S INVESTOREM.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KAŽDÝ VÝROBEK, MATERIÁL ČI TECHNOLOGICKÉ ZAŘÍZENÍ MUSÍ BÝT OPATŘENY CERTIFIKÁTEM O SHODĚ. U TECHNOLOGIÍ A JINÝCH ZAŘÍZENÍ MUSÍ BÝT PROVEDENY REVIZE A JINÉ POTŘEBNÉ ZKOUŠKY.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Všechny použité konstrukce a materiály musí vyhovovat hygienickým požadavkům na emise škodlivin a cizorodých látek (formaldehyd, radon apod.).</w:t>
      </w:r>
    </w:p>
    <w:p w:rsidR="00E717CF" w:rsidRPr="00E717CF" w:rsidRDefault="00E717CF" w:rsidP="00F20213">
      <w:pPr>
        <w:pStyle w:val="Nadpis1"/>
      </w:pPr>
      <w:bookmarkStart w:id="40" w:name="_Toc1040360"/>
      <w:bookmarkStart w:id="41" w:name="_Toc24470319"/>
      <w:r w:rsidRPr="00E717CF">
        <w:t>návaznost na OSTATNÍ PROVOZNÍ SOUBORY (PS) A stavební objekty (SO)</w:t>
      </w:r>
      <w:bookmarkEnd w:id="35"/>
      <w:bookmarkEnd w:id="40"/>
      <w:bookmarkEnd w:id="41"/>
    </w:p>
    <w:p w:rsidR="00E717CF" w:rsidRPr="00E717CF" w:rsidRDefault="00E717CF" w:rsidP="00E717CF">
      <w:pPr>
        <w:spacing w:before="120" w:after="0"/>
        <w:ind w:left="851" w:hanging="425"/>
        <w:contextualSpacing w:val="0"/>
        <w:rPr>
          <w:b/>
        </w:rPr>
      </w:pPr>
      <w:r w:rsidRPr="00E717CF">
        <w:rPr>
          <w:b/>
        </w:rPr>
        <w:t>Měření a regulace</w:t>
      </w:r>
    </w:p>
    <w:p w:rsidR="00E717CF" w:rsidRPr="00E717CF" w:rsidRDefault="00E717CF" w:rsidP="00E717CF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</w:pPr>
      <w:r w:rsidRPr="00E717CF">
        <w:t>Řízení připojovacích uzlů VZT jednotek podle požadované výstupní teploty vzduchu</w:t>
      </w:r>
    </w:p>
    <w:p w:rsidR="00E717CF" w:rsidRPr="00E717CF" w:rsidRDefault="00E717CF" w:rsidP="00E717CF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Elektroinstalace</w:t>
      </w:r>
    </w:p>
    <w:p w:rsidR="00E717CF" w:rsidRPr="00E717CF" w:rsidRDefault="00E717CF" w:rsidP="00E717CF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</w:pPr>
      <w:r w:rsidRPr="00E717CF">
        <w:t>Napojení připojovacích uzlů VZT jednotek na silnoproudé vedení</w:t>
      </w:r>
    </w:p>
    <w:p w:rsidR="00E717CF" w:rsidRPr="00E717CF" w:rsidRDefault="00E717CF" w:rsidP="00E717CF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</w:pPr>
      <w:r w:rsidRPr="00E717CF">
        <w:t>Uzemnění veškerých ocelových prvků otopné soustavy</w:t>
      </w:r>
    </w:p>
    <w:p w:rsidR="00E717CF" w:rsidRPr="00E717CF" w:rsidRDefault="00E717CF" w:rsidP="00E717CF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Vzduchotechnika</w:t>
      </w:r>
    </w:p>
    <w:p w:rsidR="00E717CF" w:rsidRPr="00E717CF" w:rsidRDefault="00E717CF" w:rsidP="00E717CF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Vytápění haly VZT jednotkami</w:t>
      </w:r>
    </w:p>
    <w:p w:rsidR="00E717CF" w:rsidRPr="00E717CF" w:rsidRDefault="00E717CF" w:rsidP="00E717CF">
      <w:pPr>
        <w:spacing w:before="120" w:after="0"/>
        <w:ind w:left="851" w:hanging="425"/>
        <w:contextualSpacing w:val="0"/>
        <w:rPr>
          <w:rFonts w:cs="Tahoma"/>
          <w:b/>
        </w:rPr>
      </w:pPr>
      <w:r w:rsidRPr="00E717CF">
        <w:rPr>
          <w:b/>
        </w:rPr>
        <w:t>Stavba</w:t>
      </w:r>
    </w:p>
    <w:p w:rsidR="00E717CF" w:rsidRPr="00E717CF" w:rsidRDefault="00E717CF" w:rsidP="00E717CF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Prostupy a drážky v příčkách a nosných zdech v trasách potrubí</w:t>
      </w:r>
    </w:p>
    <w:p w:rsidR="00E717CF" w:rsidRPr="00E717CF" w:rsidRDefault="00E717CF" w:rsidP="00E717CF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>Přístup k regulačním a uzavíracím prvkům</w:t>
      </w:r>
    </w:p>
    <w:p w:rsidR="00E717CF" w:rsidRPr="00E717CF" w:rsidRDefault="00E717CF" w:rsidP="00E717CF">
      <w:pPr>
        <w:numPr>
          <w:ilvl w:val="0"/>
          <w:numId w:val="42"/>
        </w:numPr>
        <w:spacing w:before="120" w:after="160" w:line="259" w:lineRule="auto"/>
        <w:ind w:left="851" w:hanging="425"/>
        <w:contextualSpacing w:val="0"/>
        <w:jc w:val="left"/>
        <w:rPr>
          <w:rFonts w:cs="Tahoma"/>
        </w:rPr>
      </w:pPr>
      <w:r w:rsidRPr="00E717CF">
        <w:rPr>
          <w:rFonts w:cs="Tahoma"/>
        </w:rPr>
        <w:t xml:space="preserve">Zohlednit zatížení od rozvodů vytápění </w:t>
      </w:r>
      <w:r>
        <w:rPr>
          <w:rFonts w:cs="Tahoma"/>
        </w:rPr>
        <w:t>vedených pod stropem haly</w:t>
      </w:r>
      <w:r w:rsidRPr="00E717CF">
        <w:rPr>
          <w:rFonts w:cs="Tahoma"/>
        </w:rPr>
        <w:t xml:space="preserve"> v statických výpočtech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Tahoma"/>
        </w:rPr>
      </w:pPr>
      <w:r w:rsidRPr="00E717CF">
        <w:rPr>
          <w:rFonts w:cs="Tahoma"/>
        </w:rPr>
        <w:t>Prostupy požárně dělícími konstrukcemi budou požárně utěsněny na odolnost prostupované konstrukce.</w:t>
      </w:r>
    </w:p>
    <w:p w:rsidR="00E717CF" w:rsidRPr="00E717CF" w:rsidRDefault="00E717CF" w:rsidP="00E717CF">
      <w:pPr>
        <w:spacing w:before="120" w:after="0"/>
        <w:ind w:left="426" w:firstLine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Jednotlivé profesní části projektové dokumentace je nutno koordinovat se stavební částí. </w:t>
      </w:r>
    </w:p>
    <w:p w:rsidR="00E717CF" w:rsidRPr="00E717CF" w:rsidRDefault="00E717CF" w:rsidP="00F20213">
      <w:pPr>
        <w:pStyle w:val="Nadpis1"/>
      </w:pPr>
      <w:bookmarkStart w:id="42" w:name="_Toc144680476"/>
      <w:bookmarkStart w:id="43" w:name="_Toc206921357"/>
      <w:bookmarkStart w:id="44" w:name="_Toc367283146"/>
      <w:bookmarkStart w:id="45" w:name="_Toc398048902"/>
      <w:bookmarkStart w:id="46" w:name="_Toc467852831"/>
      <w:bookmarkStart w:id="47" w:name="_Toc1040361"/>
      <w:bookmarkStart w:id="48" w:name="_Toc24470320"/>
      <w:r w:rsidRPr="00E717CF">
        <w:t>Požární bezpečnost stavby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bookmarkStart w:id="49" w:name="_Toc206921358"/>
      <w:bookmarkStart w:id="50" w:name="_Toc367283147"/>
      <w:bookmarkStart w:id="51" w:name="_Toc398048903"/>
      <w:bookmarkStart w:id="52" w:name="_Toc467852832"/>
      <w:r w:rsidRPr="00E717CF">
        <w:rPr>
          <w:rFonts w:cs="Arial"/>
          <w:szCs w:val="22"/>
        </w:rPr>
        <w:t>Podle technické zprávy části PBŘ, veškeré prostupy rozvodů a instalací budou těsněny požárními ucpávkami dle požadavků ČSN 73 0810. Prostupy realizované požárními ucpávkami budou zřetelně označeny štítkem s informacemi o požární odolnosti, druh nebo typu ucpávky, datum provedení, firmě, adrese a jméně zhotovitele, označení výrobce systému.</w:t>
      </w:r>
    </w:p>
    <w:p w:rsidR="00E717CF" w:rsidRPr="00E717CF" w:rsidRDefault="00E717CF" w:rsidP="00E717CF">
      <w:pPr>
        <w:ind w:left="426" w:firstLine="0"/>
        <w:rPr>
          <w:b/>
          <w:snapToGrid w:val="0"/>
        </w:rPr>
      </w:pPr>
      <w:r w:rsidRPr="00E717CF">
        <w:rPr>
          <w:rFonts w:cs="Arial"/>
          <w:szCs w:val="22"/>
        </w:rPr>
        <w:t>U prostupů požárně dělícími konstrukcemi se kromě požární ucpávky zabraňuje šíření požáru hmotou potrubí a vnitřním prostorem potrubí nebo jiného prostupujícího zařízení, s těsněním prostupů, které se zajišťuje pomocí manžet, tmelů a jiných výrobků, jejichž požární odolnost je určena požadovanou požární odolností požárně dělící konstrukce. Za postačující se považuje odolnost do 90 minut.</w:t>
      </w: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P</w:t>
      </w:r>
      <w:bookmarkEnd w:id="49"/>
      <w:bookmarkEnd w:id="50"/>
      <w:bookmarkEnd w:id="51"/>
      <w:r w:rsidRPr="00E717CF">
        <w:rPr>
          <w:rFonts w:cs="Arial"/>
          <w:b/>
          <w:bCs/>
          <w:snapToGrid w:val="0"/>
          <w:kern w:val="32"/>
          <w:szCs w:val="22"/>
        </w:rPr>
        <w:t>ŘEDPISY A NORMY</w:t>
      </w:r>
      <w:bookmarkEnd w:id="52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lastRenderedPageBreak/>
        <w:t xml:space="preserve">Při bourání, demontáži, provozu a užívání stavby nebo zařízení, musí být respektovány platné právní předpisy, vyhlášky a normy ČSN k zajištění požární ochrany, které se týkají stavby nebo zařízení. </w:t>
      </w:r>
    </w:p>
    <w:p w:rsidR="00E717CF" w:rsidRPr="00E717CF" w:rsidRDefault="00E717CF" w:rsidP="00E717CF">
      <w:pPr>
        <w:ind w:left="426" w:firstLine="0"/>
      </w:pPr>
      <w:r w:rsidRPr="00E717CF">
        <w:t>Jedná se zejména o zákon č.133/1985 Sb. („o požární ochraně“) ve znění pozdějších předpisů (zákon č.320/2016 Sb.), vyhlášky č.23/2008 Sb. („o technických podmínkách požární ochrany staveb“) ve znění pozdějších předpisů (vyhláška č.268/2011 Sb.), vyhláška č.246/2001 Sb. („o požární prevenci“) ve znění pozdějších předpisů (vyhláška č.221/2014 Sb.).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Jednotlivé pracovní činnosti musí být prováděné v souladu se zákoníkem práce.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Výčet předpisů pro projektovanou stavbu či zařízení není taxativní, jedná se o hlavní předpisy PO dotčeného oboru činnosti. Jejich seznam doplní o další související předpisy, vyhlášky a nařízení PO pro konkrétní činnosti zhotovitel a provozovatel stavby nebo zařízení. </w:t>
      </w: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bookmarkStart w:id="53" w:name="_Toc206921361"/>
      <w:bookmarkStart w:id="54" w:name="_Toc367283150"/>
      <w:bookmarkStart w:id="55" w:name="_Toc398048906"/>
      <w:bookmarkStart w:id="56" w:name="_Toc467852833"/>
      <w:r w:rsidRPr="00E717CF">
        <w:rPr>
          <w:rFonts w:cs="Arial"/>
          <w:b/>
          <w:bCs/>
          <w:snapToGrid w:val="0"/>
          <w:kern w:val="32"/>
          <w:szCs w:val="22"/>
        </w:rPr>
        <w:t>U</w:t>
      </w:r>
      <w:bookmarkEnd w:id="53"/>
      <w:bookmarkEnd w:id="54"/>
      <w:bookmarkEnd w:id="55"/>
      <w:r w:rsidRPr="00E717CF">
        <w:rPr>
          <w:rFonts w:cs="Arial"/>
          <w:b/>
          <w:bCs/>
          <w:snapToGrid w:val="0"/>
          <w:kern w:val="32"/>
          <w:szCs w:val="22"/>
        </w:rPr>
        <w:t>POZORNĚNÍ NA MOŽNÁ OHROŽENÍ</w:t>
      </w:r>
      <w:bookmarkEnd w:id="56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svařování a řezání plamenem a při dalších pracích se zvýšeným požárním nebezpečím bude ustanovena požární hlídka dle Zákona o požární ochraně. V okolí nesmí být hořlavé materiály. Ty nezbytně nutné, které nelze z provozních důvodů odstranit, budou chráněny nehořlavou tkaninou, nebo ochlazovány vodou.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skladování a práci s hořlavými kapalinami, plyny, nebo jinými nebezpečnými látkami je nutné zachovávat příslušné bezpečnostní předpisy tak, aby nedošlo k jejich vznícení (případně samovznícení), výbuchu nebo k nežádoucímu rozšíření do jiných prostor a nebyli ohroženy na zdraví a životě osoby v těchto prostorách se nacházející.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 stávající zachovávané objekty a případně jejich části musí být i po dobu probíhajících demoličních pracích zachována možnost protipožárního zásahu – musí být zachován přístup ke vstupům všech ponechaných objektů a jejich částí (případně umožněn průjezd záborem stavby), nástupní plochy ani zásahové cesty se nepředpokládají a přístup k odběrním místům požární vody.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POŽÁRNĚ BEZPEČNOSTNÍ ŘEŠENÍ</w:t>
      </w:r>
    </w:p>
    <w:p w:rsidR="00E717CF" w:rsidRPr="00E717CF" w:rsidRDefault="00E717CF" w:rsidP="00E717CF">
      <w:pPr>
        <w:ind w:left="426" w:firstLine="0"/>
        <w:rPr>
          <w:rFonts w:cs="Arial"/>
          <w:b/>
          <w:szCs w:val="22"/>
        </w:rPr>
      </w:pPr>
      <w:r w:rsidRPr="00E717CF">
        <w:rPr>
          <w:rFonts w:cs="Arial"/>
          <w:b/>
          <w:szCs w:val="22"/>
        </w:rPr>
        <w:t>V průběhu přípravy a realizace stavby je nutné dodržovat požadavky stanovené Požárně bezpečnostním řešením (PBŘ).</w:t>
      </w:r>
    </w:p>
    <w:p w:rsidR="00E717CF" w:rsidRPr="00E717CF" w:rsidRDefault="00E717CF" w:rsidP="00F20213">
      <w:pPr>
        <w:pStyle w:val="Nadpis1"/>
      </w:pPr>
      <w:bookmarkStart w:id="57" w:name="_Toc144680477"/>
      <w:bookmarkStart w:id="58" w:name="_Toc206921362"/>
      <w:bookmarkStart w:id="59" w:name="_Toc367283151"/>
      <w:bookmarkStart w:id="60" w:name="_Toc398048907"/>
      <w:bookmarkStart w:id="61" w:name="_Toc467852834"/>
      <w:bookmarkStart w:id="62" w:name="_Toc1040362"/>
      <w:bookmarkStart w:id="63" w:name="_Toc24470321"/>
      <w:r w:rsidRPr="00E717CF">
        <w:t>Bezpečnost práce a ochrana zdraví při práci</w:t>
      </w:r>
      <w:bookmarkStart w:id="64" w:name="_Toc1981571"/>
      <w:bookmarkStart w:id="65" w:name="_Toc144680479"/>
      <w:bookmarkStart w:id="66" w:name="_Toc206921372"/>
      <w:bookmarkStart w:id="67" w:name="_Toc367283161"/>
      <w:bookmarkStart w:id="68" w:name="_Toc398048917"/>
      <w:bookmarkEnd w:id="57"/>
      <w:bookmarkEnd w:id="58"/>
      <w:bookmarkEnd w:id="59"/>
      <w:bookmarkEnd w:id="60"/>
      <w:bookmarkEnd w:id="61"/>
      <w:bookmarkEnd w:id="62"/>
      <w:bookmarkEnd w:id="63"/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Během výstavby i užívání musí být zajištěna bezpečnost a hygiena práce co nejdůslednějším dodržováním právních a ostatních předpisů v této oblasti.</w:t>
      </w:r>
    </w:p>
    <w:p w:rsidR="00E717CF" w:rsidRPr="00E717CF" w:rsidRDefault="00E717CF" w:rsidP="00E717CF">
      <w:pPr>
        <w:ind w:left="426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výstavbě, montáži, provozu a užívání stavby nebo zařízení musí být respektovány platné právní předpisy, zákonná ustanovení, vyhlášky a další právní předpisy včetně technických norem a doporučení k zajištění bezpečnosti a ochrany zdraví při práci (BOZP), které se týkají projektované stavby nebo zařízení.</w:t>
      </w:r>
    </w:p>
    <w:p w:rsidR="00E717CF" w:rsidRPr="00E717CF" w:rsidRDefault="00E717CF" w:rsidP="00E717CF">
      <w:pPr>
        <w:ind w:left="426"/>
        <w:rPr>
          <w:rFonts w:cs="Arial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E717CF" w:rsidRPr="00E717CF" w:rsidRDefault="00E717CF" w:rsidP="00E717CF">
      <w:pPr>
        <w:ind w:left="426" w:firstLine="0"/>
        <w:rPr>
          <w:rFonts w:cs="Arial"/>
          <w:color w:val="FF0000"/>
          <w:szCs w:val="22"/>
        </w:rPr>
      </w:pP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E717CF" w:rsidRPr="00E717CF" w:rsidRDefault="00E717CF" w:rsidP="00E717CF">
      <w:pPr>
        <w:ind w:left="567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Bezpečnost při výstavbě: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lastRenderedPageBreak/>
        <w:t xml:space="preserve">používání vhodných montážních prostředků 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používání ochranných pracovních prostředků a vybavení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 montážním prostoru není přípustné provádět jiné činnosti bez souhlasu vedoucího montáže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před zahájením výkopových prací musí být podzemní vedení vytýčena a zřetelně vyznačena správcem a v průběhu prací je nutné toto označení udržovat, případně musí provedeno odstavení nebo vypnutí dotčeného vedení</w:t>
      </w:r>
    </w:p>
    <w:p w:rsidR="00E717CF" w:rsidRPr="00E717CF" w:rsidRDefault="00E717CF" w:rsidP="00E717CF">
      <w:pPr>
        <w:numPr>
          <w:ilvl w:val="0"/>
          <w:numId w:val="40"/>
        </w:numPr>
        <w:spacing w:before="120" w:after="0"/>
        <w:contextualSpacing w:val="0"/>
        <w:rPr>
          <w:rFonts w:cs="Arial"/>
          <w:szCs w:val="22"/>
        </w:rPr>
      </w:pPr>
      <w:r w:rsidRPr="00E717CF">
        <w:rPr>
          <w:rFonts w:cs="Arial"/>
          <w:szCs w:val="22"/>
        </w:rPr>
        <w:t>v prostorách, kde jsou umístěny rozváděče a el. zařízení musí být veškerá zařízení a provedení prací řešeno tak, aby byla zaručena maximální bezpečnost a ochrana zdraví a majetku.</w:t>
      </w:r>
    </w:p>
    <w:p w:rsidR="00E717CF" w:rsidRPr="00E717CF" w:rsidRDefault="00E717CF" w:rsidP="00E717CF">
      <w:pPr>
        <w:ind w:left="720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r w:rsidRPr="00E717CF">
        <w:rPr>
          <w:rFonts w:cs="Arial"/>
          <w:b/>
          <w:bCs/>
          <w:snapToGrid w:val="0"/>
          <w:kern w:val="32"/>
          <w:szCs w:val="22"/>
        </w:rPr>
        <w:t>Bezpečnost při provozu: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Pracovníci musí být vybaveni dle charakteru pracoviště předepsanými pracovními a ochrannými prostředky.</w:t>
      </w:r>
    </w:p>
    <w:p w:rsidR="00E717CF" w:rsidRPr="00E717CF" w:rsidRDefault="00E717CF" w:rsidP="00E717CF">
      <w:pPr>
        <w:ind w:left="426" w:firstLine="0"/>
        <w:rPr>
          <w:rFonts w:cs="Arial"/>
          <w:szCs w:val="22"/>
        </w:rPr>
      </w:pPr>
      <w:r w:rsidRPr="00E717CF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E717CF" w:rsidRPr="00E717CF" w:rsidRDefault="00E717CF" w:rsidP="00E717CF">
      <w:pPr>
        <w:ind w:left="567" w:firstLine="0"/>
        <w:rPr>
          <w:rFonts w:cs="Arial"/>
          <w:szCs w:val="22"/>
        </w:rPr>
      </w:pPr>
    </w:p>
    <w:p w:rsidR="00E717CF" w:rsidRPr="00E717CF" w:rsidRDefault="00E717CF" w:rsidP="00E717CF">
      <w:pPr>
        <w:spacing w:after="0"/>
        <w:ind w:left="426" w:firstLine="0"/>
        <w:contextualSpacing w:val="0"/>
        <w:rPr>
          <w:rFonts w:cs="Arial"/>
          <w:b/>
          <w:bCs/>
          <w:snapToGrid w:val="0"/>
          <w:kern w:val="32"/>
          <w:szCs w:val="22"/>
        </w:rPr>
      </w:pPr>
      <w:bookmarkStart w:id="69" w:name="_Toc206921366"/>
      <w:bookmarkStart w:id="70" w:name="_Toc367283155"/>
      <w:bookmarkStart w:id="71" w:name="_Toc398048911"/>
      <w:bookmarkStart w:id="72" w:name="_Toc467852835"/>
      <w:r w:rsidRPr="00E717CF">
        <w:rPr>
          <w:rFonts w:cs="Arial"/>
          <w:b/>
          <w:bCs/>
          <w:snapToGrid w:val="0"/>
          <w:kern w:val="32"/>
          <w:szCs w:val="22"/>
        </w:rPr>
        <w:t>P</w:t>
      </w:r>
      <w:bookmarkEnd w:id="69"/>
      <w:bookmarkEnd w:id="70"/>
      <w:bookmarkEnd w:id="71"/>
      <w:bookmarkEnd w:id="72"/>
      <w:r w:rsidRPr="00E717CF">
        <w:rPr>
          <w:rFonts w:cs="Arial"/>
          <w:b/>
          <w:bCs/>
          <w:snapToGrid w:val="0"/>
          <w:kern w:val="32"/>
          <w:szCs w:val="22"/>
        </w:rPr>
        <w:t>ředpisy a normy:</w:t>
      </w:r>
    </w:p>
    <w:p w:rsidR="00E717CF" w:rsidRPr="00E717CF" w:rsidRDefault="00E717CF" w:rsidP="00E717CF">
      <w:pPr>
        <w:ind w:left="426" w:firstLine="0"/>
      </w:pPr>
      <w:r w:rsidRPr="00E717CF">
        <w:t>Při montáži, demontáži a provozu zařízení musí být respektovány platné právní předpisy, vyhlášky a normy k zajištění BOZP, které se týkají projektovaného stavebního objektu.</w:t>
      </w:r>
    </w:p>
    <w:p w:rsidR="00E717CF" w:rsidRPr="00E717CF" w:rsidRDefault="00E717CF" w:rsidP="00E717CF">
      <w:pPr>
        <w:ind w:left="567" w:firstLine="0"/>
      </w:pPr>
    </w:p>
    <w:p w:rsidR="00E717CF" w:rsidRPr="00E717CF" w:rsidRDefault="00E717CF" w:rsidP="00E717CF">
      <w:pPr>
        <w:ind w:left="426" w:firstLine="0"/>
      </w:pPr>
      <w:r w:rsidRPr="00E717CF">
        <w:t>Přehled základních předpisů: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Zákon 262/2006 Sb.</w:t>
      </w:r>
      <w:r w:rsidRPr="00E717CF">
        <w:tab/>
        <w:t>Zákoník práce -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591/2006 Sb.</w:t>
      </w:r>
      <w:r w:rsidRPr="00E717CF">
        <w:tab/>
        <w:t>Nařízení vlády o bližších minimálních požadavcích na bezpečnost a ochranu zdraví při práci na staveništi –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362/2005 Sb.</w:t>
      </w:r>
      <w:r w:rsidRPr="00E717CF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č.101/2005 Sb. o podrobnějších požadavcích na pracoviště a pracovní prostředí –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361/2007 Sb.</w:t>
      </w:r>
      <w:r w:rsidRPr="00E717CF">
        <w:tab/>
        <w:t xml:space="preserve">Nařízení vlády, kterým se stanoví podmínky ochrany zdraví při práci - ve znění pozdějších předpisů 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201/2010 Sb. Nařízení vlády, kterým se stanoví způsob evidence a hlášení pracovních úrazů  –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Nařízení vlády č. 217/2016 O ochraně zdraví před nepříznivými účinky hluku a vibrací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zákon č. 133/1985 Sb., o požární ochraně -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Vyhláška č. 23/2008 Sb., o technických podmínkách požární ochrany staveb -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vyhláška č. 268/2009 o technických požadavcích na stavby - ve znění pozdějších předpisů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lastRenderedPageBreak/>
        <w:t>BOZP dodavatele</w:t>
      </w:r>
    </w:p>
    <w:p w:rsidR="00E717CF" w:rsidRPr="00E717CF" w:rsidRDefault="00E717CF" w:rsidP="00E717CF">
      <w:pPr>
        <w:numPr>
          <w:ilvl w:val="0"/>
          <w:numId w:val="41"/>
        </w:numPr>
        <w:spacing w:before="120" w:after="0"/>
        <w:ind w:left="567" w:hanging="141"/>
        <w:contextualSpacing w:val="0"/>
      </w:pPr>
      <w:r w:rsidRPr="00E717CF">
        <w:t>BOZP provozovatele</w:t>
      </w:r>
    </w:p>
    <w:bookmarkEnd w:id="64"/>
    <w:bookmarkEnd w:id="65"/>
    <w:bookmarkEnd w:id="66"/>
    <w:bookmarkEnd w:id="67"/>
    <w:bookmarkEnd w:id="68"/>
    <w:p w:rsidR="00E717CF" w:rsidRDefault="00E717CF" w:rsidP="00E717CF"/>
    <w:p w:rsidR="00F20213" w:rsidRDefault="00F20213" w:rsidP="00F20213">
      <w:pPr>
        <w:pStyle w:val="Nadpis1"/>
      </w:pPr>
      <w:bookmarkStart w:id="73" w:name="_Toc24470322"/>
      <w:r>
        <w:t>Přílohy:</w:t>
      </w:r>
      <w:bookmarkEnd w:id="73"/>
    </w:p>
    <w:p w:rsidR="00F20213" w:rsidRPr="009D7E75" w:rsidRDefault="00F20213" w:rsidP="00F20213">
      <w:pPr>
        <w:pStyle w:val="Nadpis2"/>
      </w:pPr>
      <w:bookmarkStart w:id="74" w:name="_Toc24470323"/>
      <w:r>
        <w:t>Tepelná ztráta</w:t>
      </w:r>
      <w:bookmarkEnd w:id="74"/>
      <w:r>
        <w:t xml:space="preserve"> </w:t>
      </w:r>
    </w:p>
    <w:p w:rsidR="00F20213" w:rsidRDefault="00F20213" w:rsidP="00F20213">
      <w:pPr>
        <w:widowControl w:val="0"/>
        <w:autoSpaceDE w:val="0"/>
        <w:autoSpaceDN w:val="0"/>
        <w:adjustRightInd w:val="0"/>
        <w:spacing w:after="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Tento dokument obsahuje všechny zadané úseky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42"/>
        <w:gridCol w:w="423"/>
        <w:gridCol w:w="1102"/>
        <w:gridCol w:w="414"/>
        <w:gridCol w:w="1200"/>
        <w:gridCol w:w="414"/>
        <w:gridCol w:w="2796"/>
        <w:gridCol w:w="135"/>
        <w:gridCol w:w="135"/>
      </w:tblGrid>
      <w:tr w:rsidR="00F20213" w:rsidRPr="00F20213" w:rsidTr="00F20213">
        <w:trPr>
          <w:cantSplit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t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e</w:t>
            </w:r>
            <w:r w:rsidRPr="00F20213">
              <w:rPr>
                <w:rFonts w:cs="Arial"/>
                <w:color w:val="000000"/>
                <w:sz w:val="20"/>
              </w:rPr>
              <w:t> =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-15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°C       t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ib</w:t>
            </w:r>
            <w:r w:rsidRPr="00F20213">
              <w:rPr>
                <w:rFonts w:cs="Arial"/>
                <w:color w:val="000000"/>
                <w:sz w:val="20"/>
              </w:rPr>
              <w:t> =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5,0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°C       n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50</w:t>
            </w:r>
            <w:r w:rsidRPr="00F20213">
              <w:rPr>
                <w:rFonts w:cs="Arial"/>
                <w:color w:val="000000"/>
                <w:sz w:val="20"/>
              </w:rPr>
              <w:t> =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systém rozměrů: E - vnější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</w:tr>
    </w:tbl>
    <w:p w:rsidR="00F20213" w:rsidRPr="00F20213" w:rsidRDefault="00F20213" w:rsidP="00F20213">
      <w:pPr>
        <w:widowControl w:val="0"/>
        <w:autoSpaceDE w:val="0"/>
        <w:autoSpaceDN w:val="0"/>
        <w:adjustRightInd w:val="0"/>
        <w:spacing w:after="0" w:line="1" w:lineRule="exact"/>
        <w:ind w:firstLine="0"/>
        <w:contextualSpacing w:val="0"/>
        <w:jc w:val="lef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68" w:type="dxa"/>
        <w:tblLayout w:type="fixed"/>
        <w:tblCellMar>
          <w:top w:w="3" w:type="dxa"/>
          <w:left w:w="113" w:type="dxa"/>
          <w:bottom w:w="3" w:type="dxa"/>
          <w:right w:w="113" w:type="dxa"/>
        </w:tblCellMar>
        <w:tblLook w:val="0000" w:firstRow="0" w:lastRow="0" w:firstColumn="0" w:lastColumn="0" w:noHBand="0" w:noVBand="0"/>
      </w:tblPr>
      <w:tblGrid>
        <w:gridCol w:w="926"/>
        <w:gridCol w:w="878"/>
        <w:gridCol w:w="1781"/>
        <w:gridCol w:w="907"/>
        <w:gridCol w:w="715"/>
        <w:gridCol w:w="883"/>
        <w:gridCol w:w="1022"/>
        <w:gridCol w:w="1022"/>
        <w:gridCol w:w="1022"/>
        <w:gridCol w:w="744"/>
      </w:tblGrid>
      <w:tr w:rsidR="00F20213" w:rsidRPr="00F20213" w:rsidTr="00F20213">
        <w:trPr>
          <w:cantSplit/>
          <w:tblHeader/>
        </w:trPr>
        <w:tc>
          <w:tcPr>
            <w:tcW w:w="926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podl.</w:t>
            </w:r>
          </w:p>
        </w:tc>
        <w:tc>
          <w:tcPr>
            <w:tcW w:w="87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č.m.</w:t>
            </w:r>
          </w:p>
        </w:tc>
        <w:tc>
          <w:tcPr>
            <w:tcW w:w="1781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účel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úsek</w:t>
            </w:r>
          </w:p>
        </w:tc>
        <w:tc>
          <w:tcPr>
            <w:tcW w:w="71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t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i</w:t>
            </w:r>
          </w:p>
        </w:tc>
        <w:tc>
          <w:tcPr>
            <w:tcW w:w="88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n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p</w:t>
            </w:r>
          </w:p>
        </w:tc>
        <w:tc>
          <w:tcPr>
            <w:tcW w:w="102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V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np</w:t>
            </w:r>
          </w:p>
        </w:tc>
        <w:tc>
          <w:tcPr>
            <w:tcW w:w="102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V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n50</w:t>
            </w:r>
          </w:p>
        </w:tc>
        <w:tc>
          <w:tcPr>
            <w:tcW w:w="102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V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mech</w:t>
            </w:r>
          </w:p>
        </w:tc>
        <w:tc>
          <w:tcPr>
            <w:tcW w:w="744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45" w:type="dxa"/>
              <w:left w:w="57" w:type="dxa"/>
              <w:bottom w:w="57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f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RH</w:t>
            </w:r>
          </w:p>
        </w:tc>
      </w:tr>
      <w:tr w:rsidR="00F20213" w:rsidRPr="00F20213" w:rsidTr="00F20213">
        <w:trPr>
          <w:cantSplit/>
          <w:tblHeader/>
        </w:trPr>
        <w:tc>
          <w:tcPr>
            <w:tcW w:w="926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81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1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°C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2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m</w:t>
            </w:r>
            <w:r w:rsidRPr="00F20213">
              <w:rPr>
                <w:rFonts w:cs="Arial"/>
                <w:color w:val="000000"/>
                <w:position w:val="6"/>
                <w:sz w:val="13"/>
                <w:szCs w:val="13"/>
              </w:rPr>
              <w:t>3</w:t>
            </w:r>
            <w:r w:rsidRPr="00F20213">
              <w:rPr>
                <w:rFonts w:cs="Arial"/>
                <w:color w:val="000000"/>
                <w:sz w:val="20"/>
              </w:rPr>
              <w:t>.h</w:t>
            </w:r>
            <w:r w:rsidRPr="00F20213">
              <w:rPr>
                <w:rFonts w:cs="Arial"/>
                <w:color w:val="000000"/>
                <w:position w:val="6"/>
                <w:sz w:val="13"/>
                <w:szCs w:val="13"/>
              </w:rPr>
              <w:t>-1</w:t>
            </w:r>
          </w:p>
        </w:tc>
        <w:tc>
          <w:tcPr>
            <w:tcW w:w="102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m</w:t>
            </w:r>
            <w:r w:rsidRPr="00F20213">
              <w:rPr>
                <w:rFonts w:cs="Arial"/>
                <w:color w:val="000000"/>
                <w:position w:val="6"/>
                <w:sz w:val="13"/>
                <w:szCs w:val="13"/>
              </w:rPr>
              <w:t>3</w:t>
            </w:r>
            <w:r w:rsidRPr="00F20213">
              <w:rPr>
                <w:rFonts w:cs="Arial"/>
                <w:color w:val="000000"/>
                <w:sz w:val="20"/>
              </w:rPr>
              <w:t>.h</w:t>
            </w:r>
            <w:r w:rsidRPr="00F20213">
              <w:rPr>
                <w:rFonts w:cs="Arial"/>
                <w:color w:val="000000"/>
                <w:position w:val="6"/>
                <w:sz w:val="13"/>
                <w:szCs w:val="13"/>
              </w:rPr>
              <w:t>-1</w:t>
            </w:r>
          </w:p>
        </w:tc>
        <w:tc>
          <w:tcPr>
            <w:tcW w:w="102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m</w:t>
            </w:r>
            <w:r w:rsidRPr="00F20213">
              <w:rPr>
                <w:rFonts w:cs="Arial"/>
                <w:color w:val="000000"/>
                <w:position w:val="6"/>
                <w:sz w:val="13"/>
                <w:szCs w:val="13"/>
              </w:rPr>
              <w:t>3</w:t>
            </w:r>
            <w:r w:rsidRPr="00F20213">
              <w:rPr>
                <w:rFonts w:cs="Arial"/>
                <w:color w:val="000000"/>
                <w:sz w:val="20"/>
              </w:rPr>
              <w:t>.h</w:t>
            </w:r>
            <w:r w:rsidRPr="00F20213">
              <w:rPr>
                <w:rFonts w:cs="Arial"/>
                <w:color w:val="000000"/>
                <w:position w:val="6"/>
                <w:sz w:val="13"/>
                <w:szCs w:val="13"/>
              </w:rPr>
              <w:t>-1</w:t>
            </w:r>
          </w:p>
        </w:tc>
        <w:tc>
          <w:tcPr>
            <w:tcW w:w="744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57" w:type="dxa"/>
              <w:left w:w="57" w:type="dxa"/>
              <w:bottom w:w="45" w:type="dxa"/>
              <w:right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20213" w:rsidRPr="00F20213" w:rsidTr="00F20213">
        <w:trPr>
          <w:cantSplit/>
        </w:trPr>
        <w:tc>
          <w:tcPr>
            <w:tcW w:w="9900" w:type="dxa"/>
            <w:gridSpan w:val="10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ÚSEK 1</w:t>
            </w:r>
          </w:p>
        </w:tc>
      </w:tr>
      <w:tr w:rsidR="00F20213" w:rsidRPr="00F20213" w:rsidTr="00F20213">
        <w:trPr>
          <w:cantSplit/>
        </w:trPr>
        <w:tc>
          <w:tcPr>
            <w:tcW w:w="926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30</w:t>
            </w:r>
          </w:p>
        </w:tc>
        <w:tc>
          <w:tcPr>
            <w:tcW w:w="1781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Hala odstavů</w:t>
            </w:r>
          </w:p>
        </w:tc>
        <w:tc>
          <w:tcPr>
            <w:tcW w:w="907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71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88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102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102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102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74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</w:tr>
    </w:tbl>
    <w:p w:rsidR="00F20213" w:rsidRPr="00F20213" w:rsidRDefault="00F20213" w:rsidP="00F20213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18"/>
          <w:szCs w:val="18"/>
        </w:rPr>
      </w:pPr>
    </w:p>
    <w:p w:rsidR="00F20213" w:rsidRPr="00F20213" w:rsidRDefault="00F20213" w:rsidP="00F20213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18"/>
          <w:szCs w:val="18"/>
        </w:rPr>
      </w:pPr>
    </w:p>
    <w:tbl>
      <w:tblPr>
        <w:tblW w:w="0" w:type="auto"/>
        <w:tblInd w:w="68" w:type="dxa"/>
        <w:tblLayout w:type="fixed"/>
        <w:tblCellMar>
          <w:top w:w="3" w:type="dxa"/>
          <w:left w:w="57" w:type="dxa"/>
          <w:bottom w:w="3" w:type="dxa"/>
          <w:right w:w="57" w:type="dxa"/>
        </w:tblCellMar>
        <w:tblLook w:val="0000" w:firstRow="0" w:lastRow="0" w:firstColumn="0" w:lastColumn="0" w:noHBand="0" w:noVBand="0"/>
      </w:tblPr>
      <w:tblGrid>
        <w:gridCol w:w="965"/>
        <w:gridCol w:w="998"/>
        <w:gridCol w:w="1046"/>
        <w:gridCol w:w="1046"/>
        <w:gridCol w:w="768"/>
        <w:gridCol w:w="662"/>
        <w:gridCol w:w="878"/>
        <w:gridCol w:w="595"/>
        <w:gridCol w:w="686"/>
        <w:gridCol w:w="878"/>
        <w:gridCol w:w="883"/>
        <w:gridCol w:w="494"/>
      </w:tblGrid>
      <w:tr w:rsidR="00F20213" w:rsidRPr="00F20213" w:rsidTr="00F20213">
        <w:trPr>
          <w:cantSplit/>
          <w:tblHeader/>
        </w:trPr>
        <w:tc>
          <w:tcPr>
            <w:tcW w:w="965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č.m.</w:t>
            </w:r>
          </w:p>
        </w:tc>
        <w:tc>
          <w:tcPr>
            <w:tcW w:w="99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úsek</w:t>
            </w:r>
          </w:p>
        </w:tc>
        <w:tc>
          <w:tcPr>
            <w:tcW w:w="1046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V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mi</w:t>
            </w:r>
          </w:p>
        </w:tc>
        <w:tc>
          <w:tcPr>
            <w:tcW w:w="1046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A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pi</w:t>
            </w:r>
          </w:p>
        </w:tc>
        <w:tc>
          <w:tcPr>
            <w:tcW w:w="76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H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Tm</w:t>
            </w:r>
          </w:p>
        </w:tc>
        <w:tc>
          <w:tcPr>
            <w:tcW w:w="662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H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Vm</w:t>
            </w:r>
          </w:p>
        </w:tc>
        <w:tc>
          <w:tcPr>
            <w:tcW w:w="87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r w:rsidRPr="00F20213">
              <w:rPr>
                <w:rFonts w:cs="Arial"/>
                <w:color w:val="000000"/>
                <w:position w:val="-3"/>
                <w:sz w:val="12"/>
                <w:szCs w:val="12"/>
              </w:rPr>
              <w:t>Tm</w:t>
            </w:r>
          </w:p>
        </w:tc>
        <w:tc>
          <w:tcPr>
            <w:tcW w:w="59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r w:rsidRPr="00F20213">
              <w:rPr>
                <w:rFonts w:cs="Arial"/>
                <w:color w:val="000000"/>
                <w:position w:val="-3"/>
                <w:sz w:val="12"/>
                <w:szCs w:val="12"/>
              </w:rPr>
              <w:t>Vm</w:t>
            </w:r>
          </w:p>
        </w:tc>
        <w:tc>
          <w:tcPr>
            <w:tcW w:w="686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r w:rsidRPr="00F20213">
              <w:rPr>
                <w:rFonts w:cs="Arial"/>
                <w:color w:val="000000"/>
                <w:position w:val="-3"/>
                <w:sz w:val="12"/>
                <w:szCs w:val="12"/>
              </w:rPr>
              <w:t>RHm</w:t>
            </w:r>
          </w:p>
        </w:tc>
        <w:tc>
          <w:tcPr>
            <w:tcW w:w="87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ascii="Symbol" w:hAnsi="Symbol" w:cs="Symbol"/>
                <w:color w:val="000000"/>
                <w:sz w:val="18"/>
                <w:szCs w:val="18"/>
              </w:rPr>
              <w:t></w:t>
            </w:r>
            <w:r w:rsidRPr="00F20213">
              <w:rPr>
                <w:rFonts w:cs="Arial"/>
                <w:color w:val="000000"/>
                <w:position w:val="-3"/>
                <w:sz w:val="12"/>
                <w:szCs w:val="12"/>
              </w:rPr>
              <w:t>HLm</w:t>
            </w:r>
          </w:p>
        </w:tc>
        <w:tc>
          <w:tcPr>
            <w:tcW w:w="883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Q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cm</w:t>
            </w:r>
          </w:p>
        </w:tc>
        <w:tc>
          <w:tcPr>
            <w:tcW w:w="494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45" w:type="dxa"/>
              <w:bottom w:w="57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Q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z</w:t>
            </w:r>
          </w:p>
        </w:tc>
      </w:tr>
      <w:tr w:rsidR="00F20213" w:rsidRPr="00F20213" w:rsidTr="00F20213">
        <w:trPr>
          <w:cantSplit/>
          <w:tblHeader/>
        </w:trPr>
        <w:tc>
          <w:tcPr>
            <w:tcW w:w="965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m</w:t>
            </w:r>
            <w:r w:rsidRPr="00F20213">
              <w:rPr>
                <w:rFonts w:cs="Arial"/>
                <w:color w:val="000000"/>
                <w:position w:val="6"/>
                <w:sz w:val="13"/>
                <w:szCs w:val="13"/>
              </w:rPr>
              <w:t>3</w:t>
            </w:r>
          </w:p>
        </w:tc>
        <w:tc>
          <w:tcPr>
            <w:tcW w:w="1046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m</w:t>
            </w:r>
            <w:r w:rsidRPr="00F20213">
              <w:rPr>
                <w:rFonts w:cs="Arial"/>
                <w:color w:val="000000"/>
                <w:position w:val="6"/>
                <w:sz w:val="13"/>
                <w:szCs w:val="13"/>
              </w:rPr>
              <w:t>2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W/K</w:t>
            </w:r>
          </w:p>
        </w:tc>
        <w:tc>
          <w:tcPr>
            <w:tcW w:w="662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W/K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W</w:t>
            </w:r>
          </w:p>
        </w:tc>
        <w:tc>
          <w:tcPr>
            <w:tcW w:w="59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W</w:t>
            </w:r>
          </w:p>
        </w:tc>
        <w:tc>
          <w:tcPr>
            <w:tcW w:w="686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W</w:t>
            </w:r>
          </w:p>
        </w:tc>
        <w:tc>
          <w:tcPr>
            <w:tcW w:w="87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W</w:t>
            </w:r>
          </w:p>
        </w:tc>
        <w:tc>
          <w:tcPr>
            <w:tcW w:w="883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W</w:t>
            </w: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57" w:type="dxa"/>
              <w:bottom w:w="45" w:type="dxa"/>
            </w:tcMar>
            <w:vAlign w:val="bottom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W</w:t>
            </w:r>
          </w:p>
        </w:tc>
      </w:tr>
      <w:tr w:rsidR="00F20213" w:rsidRPr="00F20213" w:rsidTr="00F20213">
        <w:trPr>
          <w:cantSplit/>
        </w:trPr>
        <w:tc>
          <w:tcPr>
            <w:tcW w:w="9899" w:type="dxa"/>
            <w:gridSpan w:val="1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ÚSEK 1</w:t>
            </w:r>
          </w:p>
        </w:tc>
      </w:tr>
      <w:tr w:rsidR="00F20213" w:rsidRPr="00F20213" w:rsidTr="00F20213">
        <w:trPr>
          <w:cantSplit/>
        </w:trPr>
        <w:tc>
          <w:tcPr>
            <w:tcW w:w="96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30</w:t>
            </w:r>
          </w:p>
        </w:tc>
        <w:tc>
          <w:tcPr>
            <w:tcW w:w="99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0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67 320,5</w:t>
            </w:r>
          </w:p>
        </w:tc>
        <w:tc>
          <w:tcPr>
            <w:tcW w:w="10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10 357,0</w:t>
            </w:r>
          </w:p>
        </w:tc>
        <w:tc>
          <w:tcPr>
            <w:tcW w:w="76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4 216</w:t>
            </w:r>
          </w:p>
        </w:tc>
        <w:tc>
          <w:tcPr>
            <w:tcW w:w="66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84 328</w:t>
            </w:r>
          </w:p>
        </w:tc>
        <w:tc>
          <w:tcPr>
            <w:tcW w:w="59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84 328</w:t>
            </w:r>
          </w:p>
        </w:tc>
        <w:tc>
          <w:tcPr>
            <w:tcW w:w="88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84 328</w:t>
            </w:r>
          </w:p>
        </w:tc>
        <w:tc>
          <w:tcPr>
            <w:tcW w:w="49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F20213" w:rsidRPr="00F20213" w:rsidTr="00F20213">
        <w:trPr>
          <w:cantSplit/>
        </w:trPr>
        <w:tc>
          <w:tcPr>
            <w:tcW w:w="1963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ascii="Symbol" w:hAnsi="Symbol" w:cs="Symbol"/>
                <w:color w:val="000000"/>
                <w:sz w:val="20"/>
              </w:rPr>
              <w:t></w:t>
            </w:r>
            <w:r w:rsidRPr="00F20213">
              <w:rPr>
                <w:rFonts w:cs="Arial"/>
                <w:color w:val="000000"/>
                <w:sz w:val="20"/>
              </w:rPr>
              <w:t xml:space="preserve"> úsek 1 ÚSEK 1</w:t>
            </w:r>
          </w:p>
        </w:tc>
        <w:tc>
          <w:tcPr>
            <w:tcW w:w="10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67 320,5</w:t>
            </w:r>
          </w:p>
        </w:tc>
        <w:tc>
          <w:tcPr>
            <w:tcW w:w="104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10 357,0</w:t>
            </w:r>
          </w:p>
        </w:tc>
        <w:tc>
          <w:tcPr>
            <w:tcW w:w="76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4 216</w:t>
            </w:r>
          </w:p>
        </w:tc>
        <w:tc>
          <w:tcPr>
            <w:tcW w:w="662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84 328</w:t>
            </w:r>
          </w:p>
        </w:tc>
        <w:tc>
          <w:tcPr>
            <w:tcW w:w="59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68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7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84 328</w:t>
            </w:r>
          </w:p>
        </w:tc>
        <w:tc>
          <w:tcPr>
            <w:tcW w:w="88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84 328</w:t>
            </w:r>
          </w:p>
        </w:tc>
        <w:tc>
          <w:tcPr>
            <w:tcW w:w="494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</w:tr>
    </w:tbl>
    <w:p w:rsidR="00F20213" w:rsidRPr="00F20213" w:rsidRDefault="00F20213" w:rsidP="00F20213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18"/>
          <w:szCs w:val="18"/>
        </w:rPr>
      </w:pPr>
    </w:p>
    <w:p w:rsidR="00F20213" w:rsidRPr="00F20213" w:rsidRDefault="00F20213" w:rsidP="00F20213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18"/>
          <w:szCs w:val="18"/>
        </w:rPr>
      </w:pPr>
      <w:r w:rsidRPr="00F20213">
        <w:rPr>
          <w:rFonts w:cs="Arial"/>
          <w:color w:val="000000"/>
          <w:sz w:val="18"/>
          <w:szCs w:val="18"/>
        </w:rPr>
        <w:t>Legenda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198"/>
        <w:gridCol w:w="6433"/>
      </w:tblGrid>
      <w:tr w:rsidR="00F20213" w:rsidRPr="00F20213" w:rsidTr="00F20213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b/>
                <w:bCs/>
                <w:color w:val="000000"/>
                <w:sz w:val="20"/>
              </w:rPr>
              <w:t>V</w:t>
            </w:r>
            <w:r w:rsidRPr="00F20213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np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hygienická výměna vzduchu</w:t>
            </w:r>
          </w:p>
        </w:tc>
      </w:tr>
      <w:tr w:rsidR="00F20213" w:rsidRPr="00F20213" w:rsidTr="00F20213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b/>
                <w:bCs/>
                <w:color w:val="000000"/>
                <w:sz w:val="20"/>
              </w:rPr>
              <w:t>V</w:t>
            </w:r>
            <w:r w:rsidRPr="00F20213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n50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výměna vzduchu pláštěm budovy</w:t>
            </w:r>
          </w:p>
        </w:tc>
      </w:tr>
      <w:tr w:rsidR="00F20213" w:rsidRPr="00F20213" w:rsidTr="00F20213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b/>
                <w:bCs/>
                <w:color w:val="000000"/>
                <w:sz w:val="20"/>
              </w:rPr>
              <w:t>fRH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zátopový součinitel</w:t>
            </w:r>
          </w:p>
        </w:tc>
      </w:tr>
      <w:tr w:rsidR="00F20213" w:rsidRPr="00F20213" w:rsidTr="00F20213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r w:rsidRPr="00F20213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Tm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tepelná ztráta místnosti prostupem tepla</w:t>
            </w:r>
          </w:p>
        </w:tc>
      </w:tr>
      <w:tr w:rsidR="00F20213" w:rsidRPr="00F20213" w:rsidTr="00F20213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r w:rsidRPr="00F20213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Vm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tepelná ztráta místnosti větráním</w:t>
            </w:r>
          </w:p>
        </w:tc>
      </w:tr>
      <w:tr w:rsidR="00F20213" w:rsidRPr="00F20213" w:rsidTr="00F20213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r w:rsidRPr="00F20213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RHm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tepelný výkon místnosti pro vyrovnání účinků přerušovaného vytápění</w:t>
            </w:r>
          </w:p>
        </w:tc>
      </w:tr>
      <w:tr w:rsidR="00F20213" w:rsidRPr="00F20213" w:rsidTr="00F20213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ascii="Symbol" w:hAnsi="Symbol" w:cs="Symbol"/>
                <w:b/>
                <w:bCs/>
                <w:color w:val="000000"/>
                <w:sz w:val="20"/>
              </w:rPr>
              <w:t></w:t>
            </w:r>
            <w:r w:rsidRPr="00F20213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HLm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celkový návrhový tepelný výkon místnosti</w:t>
            </w:r>
          </w:p>
        </w:tc>
      </w:tr>
      <w:tr w:rsidR="00F20213" w:rsidRPr="00F20213" w:rsidTr="00F20213">
        <w:trPr>
          <w:cantSplit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b/>
                <w:bCs/>
                <w:color w:val="000000"/>
                <w:sz w:val="20"/>
              </w:rPr>
              <w:t>Q</w:t>
            </w:r>
            <w:r w:rsidRPr="00F20213">
              <w:rPr>
                <w:rFonts w:cs="Arial"/>
                <w:b/>
                <w:bCs/>
                <w:color w:val="000000"/>
                <w:position w:val="-3"/>
                <w:sz w:val="13"/>
                <w:szCs w:val="13"/>
              </w:rPr>
              <w:t>cm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=</w:t>
            </w:r>
          </w:p>
        </w:tc>
        <w:tc>
          <w:tcPr>
            <w:tcW w:w="6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ascii="Symbol" w:hAnsi="Symbol" w:cs="Symbol"/>
                <w:color w:val="000000"/>
                <w:sz w:val="20"/>
              </w:rPr>
              <w:t>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HLm</w:t>
            </w:r>
            <w:r w:rsidRPr="00F20213">
              <w:rPr>
                <w:rFonts w:cs="Arial"/>
                <w:color w:val="000000"/>
                <w:sz w:val="20"/>
              </w:rPr>
              <w:t xml:space="preserve"> + Q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z</w:t>
            </w:r>
          </w:p>
        </w:tc>
      </w:tr>
    </w:tbl>
    <w:p w:rsidR="00F20213" w:rsidRDefault="00F20213" w:rsidP="00F20213"/>
    <w:p w:rsidR="00F20213" w:rsidRDefault="00F20213" w:rsidP="00F20213">
      <w:pPr>
        <w:pStyle w:val="Nadpis2"/>
      </w:pPr>
      <w:bookmarkStart w:id="75" w:name="_Toc24470324"/>
      <w:r>
        <w:t>Potřeba energie</w:t>
      </w:r>
      <w:bookmarkEnd w:id="75"/>
    </w:p>
    <w:p w:rsidR="00F20213" w:rsidRDefault="00F20213" w:rsidP="00F20213">
      <w:pPr>
        <w:widowControl w:val="0"/>
        <w:autoSpaceDE w:val="0"/>
        <w:autoSpaceDN w:val="0"/>
        <w:adjustRightInd w:val="0"/>
        <w:spacing w:before="227" w:after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>Do výpočtu jsou zahrnuty všechny úseky</w:t>
      </w: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641"/>
        <w:gridCol w:w="510"/>
        <w:gridCol w:w="745"/>
        <w:gridCol w:w="361"/>
      </w:tblGrid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Tepelná ztráta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Q 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84 328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W</w:t>
            </w:r>
          </w:p>
        </w:tc>
      </w:tr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Výpočtová venkovní teplota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t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e</w:t>
            </w:r>
            <w:r w:rsidRPr="00F20213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-15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°C</w:t>
            </w:r>
          </w:p>
        </w:tc>
      </w:tr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Průměrná vnitřní teplota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t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is</w:t>
            </w:r>
            <w:r w:rsidRPr="00F20213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5,0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°C</w:t>
            </w:r>
          </w:p>
        </w:tc>
      </w:tr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Počet topných dnů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d 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246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Střední teplota venkovního vzduchu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t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es</w:t>
            </w:r>
            <w:r w:rsidRPr="00F20213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4,6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°C</w:t>
            </w:r>
          </w:p>
        </w:tc>
      </w:tr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Vliv nesoučasnosti výpočtových hodnot               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f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1</w:t>
            </w:r>
            <w:r w:rsidRPr="00F20213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0,85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Vliv režimu vytápění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f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2</w:t>
            </w:r>
            <w:r w:rsidRPr="00F20213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0,95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Vliv zvýšení vnitřní teploty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f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3</w:t>
            </w:r>
            <w:r w:rsidRPr="00F20213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1,07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Vliv regulace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f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4</w:t>
            </w:r>
            <w:r w:rsidRPr="00F20213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1,00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Palivo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CZT</w:t>
            </w:r>
          </w:p>
        </w:tc>
      </w:tr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</w:p>
        </w:tc>
      </w:tr>
      <w:tr w:rsidR="00F20213" w:rsidRPr="00F20213" w:rsidTr="00F20213">
        <w:trPr>
          <w:cantSplit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Účinnost systému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ascii="Symbol" w:hAnsi="Symbol" w:cs="Symbol"/>
                <w:color w:val="000000"/>
                <w:sz w:val="20"/>
              </w:rPr>
              <w:t></w:t>
            </w:r>
            <w:r w:rsidRPr="00F20213">
              <w:rPr>
                <w:rFonts w:cs="Arial"/>
                <w:color w:val="000000"/>
                <w:sz w:val="20"/>
              </w:rPr>
              <w:t xml:space="preserve"> =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94,0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%</w:t>
            </w:r>
          </w:p>
        </w:tc>
      </w:tr>
    </w:tbl>
    <w:p w:rsidR="00F20213" w:rsidRPr="00F20213" w:rsidRDefault="00F20213" w:rsidP="00F20213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20"/>
        </w:rPr>
      </w:pPr>
      <w:r w:rsidRPr="00F20213">
        <w:rPr>
          <w:rFonts w:cs="Arial"/>
          <w:color w:val="000000"/>
          <w:sz w:val="20"/>
        </w:rPr>
        <w:t>Rozložení potřeby energie E</w:t>
      </w:r>
      <w:r w:rsidRPr="00F20213">
        <w:rPr>
          <w:rFonts w:cs="Arial"/>
          <w:color w:val="000000"/>
          <w:position w:val="-3"/>
          <w:sz w:val="13"/>
          <w:szCs w:val="13"/>
        </w:rPr>
        <w:t>v</w:t>
      </w:r>
      <w:r w:rsidRPr="00F20213">
        <w:rPr>
          <w:rFonts w:cs="Arial"/>
          <w:color w:val="000000"/>
          <w:sz w:val="20"/>
        </w:rPr>
        <w:t xml:space="preserve"> a paliva B</w:t>
      </w:r>
      <w:r w:rsidRPr="00F20213">
        <w:rPr>
          <w:rFonts w:cs="Arial"/>
          <w:color w:val="000000"/>
          <w:position w:val="-3"/>
          <w:sz w:val="13"/>
          <w:szCs w:val="13"/>
        </w:rPr>
        <w:t>v</w:t>
      </w:r>
    </w:p>
    <w:p w:rsidR="00F20213" w:rsidRPr="00F20213" w:rsidRDefault="00F20213" w:rsidP="00F20213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20"/>
        </w:rPr>
      </w:pPr>
    </w:p>
    <w:tbl>
      <w:tblPr>
        <w:tblW w:w="0" w:type="auto"/>
        <w:tblInd w:w="181" w:type="dxa"/>
        <w:tblLayout w:type="fixed"/>
        <w:tblCellMar>
          <w:top w:w="57" w:type="dxa"/>
          <w:left w:w="170" w:type="dxa"/>
          <w:bottom w:w="57" w:type="dxa"/>
          <w:right w:w="170" w:type="dxa"/>
        </w:tblCellMar>
        <w:tblLook w:val="0000" w:firstRow="0" w:lastRow="0" w:firstColumn="0" w:lastColumn="0" w:noHBand="0" w:noVBand="0"/>
      </w:tblPr>
      <w:tblGrid>
        <w:gridCol w:w="894"/>
        <w:gridCol w:w="1238"/>
        <w:gridCol w:w="745"/>
        <w:gridCol w:w="966"/>
        <w:gridCol w:w="855"/>
        <w:gridCol w:w="855"/>
        <w:gridCol w:w="1136"/>
      </w:tblGrid>
      <w:tr w:rsidR="00F20213" w:rsidRPr="00F20213" w:rsidTr="00F20213">
        <w:trPr>
          <w:cantSplit/>
          <w:tblHeader/>
        </w:trPr>
        <w:tc>
          <w:tcPr>
            <w:tcW w:w="894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měsíc</w:t>
            </w:r>
          </w:p>
        </w:tc>
        <w:tc>
          <w:tcPr>
            <w:tcW w:w="123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počet dnů</w:t>
            </w:r>
          </w:p>
        </w:tc>
        <w:tc>
          <w:tcPr>
            <w:tcW w:w="74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t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es</w:t>
            </w:r>
          </w:p>
        </w:tc>
        <w:tc>
          <w:tcPr>
            <w:tcW w:w="966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E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v</w:t>
            </w:r>
          </w:p>
        </w:tc>
        <w:tc>
          <w:tcPr>
            <w:tcW w:w="85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E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v</w:t>
            </w:r>
          </w:p>
        </w:tc>
        <w:tc>
          <w:tcPr>
            <w:tcW w:w="85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E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v</w:t>
            </w:r>
          </w:p>
        </w:tc>
        <w:tc>
          <w:tcPr>
            <w:tcW w:w="1136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E</w:t>
            </w:r>
          </w:p>
        </w:tc>
      </w:tr>
      <w:tr w:rsidR="00F20213" w:rsidRPr="00F20213" w:rsidTr="00F20213">
        <w:trPr>
          <w:cantSplit/>
          <w:tblHeader/>
        </w:trPr>
        <w:tc>
          <w:tcPr>
            <w:tcW w:w="894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4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°C</w:t>
            </w: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kWh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GJ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%</w:t>
            </w: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kWh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single" w:sz="9" w:space="0" w:color="000000"/>
              <w:left w:val="single" w:sz="9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8</w:t>
            </w:r>
          </w:p>
        </w:tc>
        <w:tc>
          <w:tcPr>
            <w:tcW w:w="1238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74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15,0</w:t>
            </w:r>
          </w:p>
        </w:tc>
        <w:tc>
          <w:tcPr>
            <w:tcW w:w="966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5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855" w:type="dxa"/>
            <w:tcBorders>
              <w:top w:val="single" w:sz="9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1136" w:type="dxa"/>
            <w:tcBorders>
              <w:top w:val="single" w:sz="9" w:space="0" w:color="000000"/>
              <w:left w:val="single" w:sz="6" w:space="0" w:color="000000"/>
              <w:bottom w:val="nil"/>
              <w:right w:val="single" w:sz="9" w:space="0" w:color="000000"/>
            </w:tcBorders>
            <w:tcMar>
              <w:top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9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15</w:t>
            </w:r>
          </w:p>
        </w:tc>
        <w:tc>
          <w:tcPr>
            <w:tcW w:w="7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13,8</w:t>
            </w: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10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31</w:t>
            </w:r>
          </w:p>
        </w:tc>
        <w:tc>
          <w:tcPr>
            <w:tcW w:w="7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8,9</w:t>
            </w: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11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30</w:t>
            </w:r>
          </w:p>
        </w:tc>
        <w:tc>
          <w:tcPr>
            <w:tcW w:w="7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3,5</w:t>
            </w: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3 935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14,2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7,2</w:t>
            </w: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4 185,7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12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31</w:t>
            </w:r>
          </w:p>
        </w:tc>
        <w:tc>
          <w:tcPr>
            <w:tcW w:w="7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-0,2</w:t>
            </w: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14 094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50,7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25,8</w:t>
            </w: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14 994,0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31</w:t>
            </w:r>
          </w:p>
        </w:tc>
        <w:tc>
          <w:tcPr>
            <w:tcW w:w="7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-2,2</w:t>
            </w: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19 515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70,3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35,8</w:t>
            </w: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20 760,9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28</w:t>
            </w:r>
          </w:p>
        </w:tc>
        <w:tc>
          <w:tcPr>
            <w:tcW w:w="7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-0,4</w:t>
            </w: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13 220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47,6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24,2</w:t>
            </w: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14 063,8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31</w:t>
            </w:r>
          </w:p>
        </w:tc>
        <w:tc>
          <w:tcPr>
            <w:tcW w:w="7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3,6</w:t>
            </w: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3 795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13,7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7,0</w:t>
            </w: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4 036,8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30</w:t>
            </w:r>
          </w:p>
        </w:tc>
        <w:tc>
          <w:tcPr>
            <w:tcW w:w="7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9,1</w:t>
            </w: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nil"/>
              <w:left w:val="single" w:sz="9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5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18</w:t>
            </w:r>
          </w:p>
        </w:tc>
        <w:tc>
          <w:tcPr>
            <w:tcW w:w="7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13,4</w:t>
            </w: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nil"/>
              <w:right w:val="single" w:sz="9" w:space="0" w:color="000000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nil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74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15,0</w:t>
            </w:r>
          </w:p>
        </w:tc>
        <w:tc>
          <w:tcPr>
            <w:tcW w:w="966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  <w:tc>
          <w:tcPr>
            <w:tcW w:w="1136" w:type="dxa"/>
            <w:tcBorders>
              <w:top w:val="nil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0,0</w:t>
            </w:r>
          </w:p>
        </w:tc>
      </w:tr>
      <w:tr w:rsidR="00F20213" w:rsidRPr="00F20213" w:rsidTr="00F20213">
        <w:trPr>
          <w:cantSplit/>
        </w:trPr>
        <w:tc>
          <w:tcPr>
            <w:tcW w:w="89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tcMar>
              <w:top w:w="45" w:type="dxa"/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8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45" w:type="dxa"/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center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245</w:t>
            </w:r>
          </w:p>
        </w:tc>
        <w:tc>
          <w:tcPr>
            <w:tcW w:w="74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45" w:type="dxa"/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6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45" w:type="dxa"/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54 559</w:t>
            </w:r>
          </w:p>
        </w:tc>
        <w:tc>
          <w:tcPr>
            <w:tcW w:w="8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45" w:type="dxa"/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196,4</w:t>
            </w:r>
          </w:p>
        </w:tc>
        <w:tc>
          <w:tcPr>
            <w:tcW w:w="855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6" w:space="0" w:color="000000"/>
            </w:tcBorders>
            <w:tcMar>
              <w:top w:w="45" w:type="dxa"/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100,0</w:t>
            </w:r>
          </w:p>
        </w:tc>
        <w:tc>
          <w:tcPr>
            <w:tcW w:w="1136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tcMar>
              <w:top w:w="45" w:type="dxa"/>
              <w:bottom w:w="45" w:type="dxa"/>
            </w:tcMar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righ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58 041,2</w:t>
            </w:r>
          </w:p>
        </w:tc>
      </w:tr>
    </w:tbl>
    <w:p w:rsidR="00F20213" w:rsidRPr="00F20213" w:rsidRDefault="00F20213" w:rsidP="00F20213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cs="Arial"/>
          <w:color w:val="000000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"/>
        <w:gridCol w:w="2487"/>
      </w:tblGrid>
      <w:tr w:rsidR="00F20213" w:rsidRPr="00F20213" w:rsidTr="00F20213">
        <w:trPr>
          <w:cantSplit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E</w:t>
            </w:r>
            <w:r w:rsidRPr="00F20213">
              <w:rPr>
                <w:rFonts w:cs="Arial"/>
                <w:color w:val="000000"/>
                <w:position w:val="-3"/>
                <w:sz w:val="13"/>
                <w:szCs w:val="13"/>
              </w:rPr>
              <w:t>v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 potřeba energie</w:t>
            </w:r>
          </w:p>
        </w:tc>
      </w:tr>
      <w:tr w:rsidR="00F20213" w:rsidRPr="00F20213" w:rsidTr="00F20213">
        <w:trPr>
          <w:cantSplit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E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0213" w:rsidRPr="00F20213" w:rsidRDefault="00F20213" w:rsidP="00F2021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contextualSpacing w:val="0"/>
              <w:jc w:val="left"/>
              <w:rPr>
                <w:rFonts w:cs="Arial"/>
                <w:color w:val="000000"/>
                <w:sz w:val="20"/>
              </w:rPr>
            </w:pPr>
            <w:r w:rsidRPr="00F20213">
              <w:rPr>
                <w:rFonts w:cs="Arial"/>
                <w:color w:val="000000"/>
                <w:sz w:val="20"/>
              </w:rPr>
              <w:t>- potřeba elektrické energie</w:t>
            </w:r>
          </w:p>
        </w:tc>
      </w:tr>
    </w:tbl>
    <w:p w:rsidR="00F20213" w:rsidRPr="00F20213" w:rsidRDefault="00F20213" w:rsidP="00F20213">
      <w:pPr>
        <w:widowControl w:val="0"/>
        <w:autoSpaceDE w:val="0"/>
        <w:autoSpaceDN w:val="0"/>
        <w:adjustRightInd w:val="0"/>
        <w:spacing w:after="0"/>
        <w:ind w:firstLine="0"/>
        <w:contextualSpacing w:val="0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F20213" w:rsidRPr="00F20213" w:rsidRDefault="00F20213" w:rsidP="00F20213"/>
    <w:sectPr w:rsidR="00F20213" w:rsidRPr="00F20213" w:rsidSect="0039664D">
      <w:headerReference w:type="default" r:id="rId9"/>
      <w:footerReference w:type="default" r:id="rId10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29B" w:rsidRDefault="0007429B">
      <w:r>
        <w:separator/>
      </w:r>
    </w:p>
  </w:endnote>
  <w:endnote w:type="continuationSeparator" w:id="0">
    <w:p w:rsidR="0007429B" w:rsidRDefault="0007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PalmSprings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Borders>
        <w:top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242"/>
      <w:gridCol w:w="1422"/>
      <w:gridCol w:w="2264"/>
      <w:gridCol w:w="287"/>
      <w:gridCol w:w="563"/>
      <w:gridCol w:w="429"/>
      <w:gridCol w:w="422"/>
      <w:gridCol w:w="425"/>
      <w:gridCol w:w="567"/>
      <w:gridCol w:w="567"/>
      <w:gridCol w:w="1418"/>
      <w:gridCol w:w="567"/>
    </w:tblGrid>
    <w:tr w:rsidR="00F20213" w:rsidRPr="00897C60" w:rsidTr="00FC7A13">
      <w:trPr>
        <w:trHeight w:hRule="exact" w:val="550"/>
      </w:trPr>
      <w:tc>
        <w:tcPr>
          <w:tcW w:w="1242" w:type="dxa"/>
          <w:tcBorders>
            <w:top w:val="single" w:sz="4" w:space="0" w:color="auto"/>
          </w:tcBorders>
          <w:vAlign w:val="center"/>
        </w:tcPr>
        <w:p w:rsidR="00F20213" w:rsidRPr="00897C60" w:rsidRDefault="00F20213" w:rsidP="007E3A13">
          <w:pPr>
            <w:pStyle w:val="Zpat"/>
            <w:jc w:val="right"/>
          </w:pPr>
          <w:r w:rsidRPr="00897C60">
            <w:t>Název akce:</w:t>
          </w:r>
        </w:p>
      </w:tc>
      <w:tc>
        <w:tcPr>
          <w:tcW w:w="6946" w:type="dxa"/>
          <w:gridSpan w:val="9"/>
          <w:tcBorders>
            <w:top w:val="single" w:sz="4" w:space="0" w:color="auto"/>
          </w:tcBorders>
          <w:vAlign w:val="center"/>
        </w:tcPr>
        <w:p w:rsidR="00F20213" w:rsidRPr="00897C60" w:rsidRDefault="00F20213" w:rsidP="00E65E7D">
          <w:pPr>
            <w:pStyle w:val="Zpat"/>
            <w:tabs>
              <w:tab w:val="clear" w:pos="4536"/>
            </w:tabs>
          </w:pPr>
          <w:r>
            <w:t>„</w:t>
          </w:r>
          <w:r>
            <w:rPr>
              <w:b/>
            </w:rPr>
            <w:t>Rekonstrukce vozovny Slovany Plzeň, Slovanská alej 35</w:t>
          </w:r>
          <w:r>
            <w:t>“ – DSP</w:t>
          </w:r>
        </w:p>
      </w:tc>
      <w:tc>
        <w:tcPr>
          <w:tcW w:w="1985" w:type="dxa"/>
          <w:gridSpan w:val="2"/>
          <w:tcBorders>
            <w:top w:val="single" w:sz="4" w:space="0" w:color="auto"/>
          </w:tcBorders>
          <w:vAlign w:val="center"/>
        </w:tcPr>
        <w:p w:rsidR="00F20213" w:rsidRPr="00897C60" w:rsidRDefault="00F20213" w:rsidP="00124EE3">
          <w:pPr>
            <w:pStyle w:val="Zpat"/>
            <w:tabs>
              <w:tab w:val="clear" w:pos="4536"/>
            </w:tabs>
            <w:jc w:val="right"/>
          </w:pPr>
          <w:r w:rsidRPr="00897C60">
            <w:t xml:space="preserve">str.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F7B55">
            <w:rPr>
              <w:noProof/>
            </w:rPr>
            <w:t>5</w:t>
          </w:r>
          <w:r>
            <w:rPr>
              <w:noProof/>
            </w:rPr>
            <w:fldChar w:fldCharType="end"/>
          </w:r>
          <w:r w:rsidRPr="00897C60">
            <w:t>/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3F7B55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</w:tc>
    </w:tr>
    <w:tr w:rsidR="00F20213" w:rsidRPr="00EC1679" w:rsidTr="00FC7A13">
      <w:trPr>
        <w:trHeight w:hRule="exact" w:val="283"/>
      </w:trPr>
      <w:tc>
        <w:tcPr>
          <w:tcW w:w="1242" w:type="dxa"/>
          <w:vAlign w:val="center"/>
        </w:tcPr>
        <w:p w:rsidR="00F20213" w:rsidRPr="00897C60" w:rsidRDefault="00F20213" w:rsidP="00EF72E3">
          <w:pPr>
            <w:pStyle w:val="Zpat"/>
            <w:jc w:val="right"/>
          </w:pPr>
          <w:r w:rsidRPr="00897C60">
            <w:t>Vypracoval:</w:t>
          </w:r>
        </w:p>
      </w:tc>
      <w:tc>
        <w:tcPr>
          <w:tcW w:w="1422" w:type="dxa"/>
          <w:vAlign w:val="center"/>
        </w:tcPr>
        <w:p w:rsidR="00F20213" w:rsidRPr="00897C60" w:rsidRDefault="00F20213" w:rsidP="00EF72E3">
          <w:pPr>
            <w:pStyle w:val="Zpat"/>
          </w:pPr>
          <w:r>
            <w:t>Bc. Kostínková</w:t>
          </w:r>
        </w:p>
      </w:tc>
      <w:tc>
        <w:tcPr>
          <w:tcW w:w="2264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F20213" w:rsidRPr="00897C60" w:rsidRDefault="00F20213" w:rsidP="00EF72E3">
          <w:pPr>
            <w:pStyle w:val="Zpat"/>
            <w:ind w:left="-170"/>
          </w:pPr>
          <w:r w:rsidRPr="00897C60">
            <w:t>IdIdentifikační číslo dokumentu:</w:t>
          </w:r>
        </w:p>
      </w:tc>
      <w:tc>
        <w:tcPr>
          <w:tcW w:w="2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F20213" w:rsidRPr="00863549" w:rsidRDefault="004C6B45" w:rsidP="00EF72E3">
          <w:pPr>
            <w:pStyle w:val="Zpat"/>
            <w:jc w:val="center"/>
          </w:pPr>
          <w:r>
            <w:t>19</w:t>
          </w:r>
        </w:p>
      </w:tc>
      <w:tc>
        <w:tcPr>
          <w:tcW w:w="5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20213" w:rsidRPr="00863549" w:rsidRDefault="00F20213" w:rsidP="00EF72E3">
          <w:pPr>
            <w:pStyle w:val="Zpat"/>
            <w:jc w:val="center"/>
          </w:pPr>
          <w:r>
            <w:t>7246</w:t>
          </w:r>
        </w:p>
      </w:tc>
      <w:tc>
        <w:tcPr>
          <w:tcW w:w="4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20213" w:rsidRPr="00863549" w:rsidRDefault="004C6B45" w:rsidP="00EF72E3">
          <w:pPr>
            <w:pStyle w:val="Zpat"/>
            <w:jc w:val="center"/>
          </w:pPr>
          <w:r>
            <w:t>006</w:t>
          </w:r>
        </w:p>
      </w:tc>
      <w:tc>
        <w:tcPr>
          <w:tcW w:w="4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20213" w:rsidRPr="00897C60" w:rsidRDefault="00F20213" w:rsidP="00FC7A13">
          <w:pPr>
            <w:pStyle w:val="Zpat"/>
          </w:pPr>
          <w:r>
            <w:t xml:space="preserve"> 06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20213" w:rsidRPr="00897C60" w:rsidRDefault="00F20213" w:rsidP="00FC7A13">
          <w:pPr>
            <w:pStyle w:val="Zpat"/>
          </w:pPr>
          <w:r>
            <w:t xml:space="preserve"> 04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20213" w:rsidRPr="00897C60" w:rsidRDefault="00F20213" w:rsidP="00EF72E3">
          <w:pPr>
            <w:pStyle w:val="Zpat"/>
            <w:jc w:val="center"/>
          </w:pPr>
          <w:r>
            <w:t>03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</w:tcMar>
          <w:vAlign w:val="center"/>
        </w:tcPr>
        <w:p w:rsidR="00F20213" w:rsidRPr="00897C60" w:rsidRDefault="00F20213" w:rsidP="00EF72E3">
          <w:pPr>
            <w:pStyle w:val="Zpat"/>
            <w:jc w:val="center"/>
          </w:pPr>
          <w:r w:rsidRPr="00897C60">
            <w:t>001</w:t>
          </w:r>
        </w:p>
      </w:tc>
      <w:tc>
        <w:tcPr>
          <w:tcW w:w="141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F20213" w:rsidRPr="00863549" w:rsidRDefault="00F20213" w:rsidP="00EF72E3">
          <w:pPr>
            <w:pStyle w:val="Zpat"/>
            <w:jc w:val="right"/>
          </w:pPr>
          <w:r w:rsidRPr="00897C60">
            <w:t>Změna: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20213" w:rsidRPr="00863549" w:rsidRDefault="00F20213" w:rsidP="00EF72E3">
          <w:pPr>
            <w:pStyle w:val="Zpat"/>
            <w:jc w:val="center"/>
          </w:pPr>
        </w:p>
      </w:tc>
    </w:tr>
  </w:tbl>
  <w:p w:rsidR="00F20213" w:rsidRPr="006A1972" w:rsidRDefault="00F20213" w:rsidP="008635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29B" w:rsidRDefault="0007429B">
      <w:r>
        <w:separator/>
      </w:r>
    </w:p>
  </w:footnote>
  <w:footnote w:type="continuationSeparator" w:id="0">
    <w:p w:rsidR="0007429B" w:rsidRDefault="00074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7"/>
      <w:gridCol w:w="4793"/>
      <w:gridCol w:w="4641"/>
    </w:tblGrid>
    <w:tr w:rsidR="00F20213" w:rsidRPr="0052011D" w:rsidTr="0052011D">
      <w:trPr>
        <w:cantSplit/>
        <w:trHeight w:val="309"/>
      </w:trPr>
      <w:tc>
        <w:tcPr>
          <w:tcW w:w="537" w:type="dxa"/>
          <w:vAlign w:val="center"/>
        </w:tcPr>
        <w:p w:rsidR="00F20213" w:rsidRPr="0052011D" w:rsidRDefault="003F7B55" w:rsidP="0009537E">
          <w:pPr>
            <w:pStyle w:val="Zhlav"/>
            <w:rPr>
              <w:sz w:val="24"/>
              <w:szCs w:val="24"/>
            </w:rPr>
          </w:pPr>
          <w:r>
            <w:rPr>
              <w:sz w:val="24"/>
              <w:szCs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3.5pt;height:15pt" fillcolor="window">
                <v:imagedata r:id="rId1" o:title=""/>
              </v:shape>
            </w:pict>
          </w:r>
        </w:p>
      </w:tc>
      <w:tc>
        <w:tcPr>
          <w:tcW w:w="4793" w:type="dxa"/>
          <w:vAlign w:val="center"/>
        </w:tcPr>
        <w:p w:rsidR="00F20213" w:rsidRPr="0052011D" w:rsidRDefault="00F20213" w:rsidP="0052011D">
          <w:pPr>
            <w:pStyle w:val="Zhlav"/>
            <w:jc w:val="both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METROPROJEKT Praha a.s.</w:t>
          </w:r>
        </w:p>
      </w:tc>
      <w:tc>
        <w:tcPr>
          <w:tcW w:w="4641" w:type="dxa"/>
        </w:tcPr>
        <w:p w:rsidR="00F20213" w:rsidRPr="0052011D" w:rsidRDefault="00F20213" w:rsidP="0009537E">
          <w:pPr>
            <w:pStyle w:val="Zhlav"/>
            <w:jc w:val="right"/>
            <w:rPr>
              <w:b/>
              <w:sz w:val="24"/>
              <w:szCs w:val="24"/>
            </w:rPr>
          </w:pPr>
          <w:r w:rsidRPr="0052011D">
            <w:rPr>
              <w:b/>
              <w:sz w:val="24"/>
              <w:szCs w:val="24"/>
            </w:rPr>
            <w:t>TECHNICKÁ ZPRÁVA</w:t>
          </w:r>
        </w:p>
      </w:tc>
    </w:tr>
  </w:tbl>
  <w:p w:rsidR="00F20213" w:rsidRPr="00FC2382" w:rsidRDefault="00F20213" w:rsidP="00C828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1.25pt;height:115.5pt" o:bullet="t" fillcolor="window">
        <v:imagedata r:id="rId1" o:title=""/>
      </v:shape>
    </w:pict>
  </w:numPicBullet>
  <w:abstractNum w:abstractNumId="0">
    <w:nsid w:val="FFFFFF7C"/>
    <w:multiLevelType w:val="singleLevel"/>
    <w:tmpl w:val="42644E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7FAD8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544EE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02A9F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10A4E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F408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47AD9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73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64F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206EA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C35B0"/>
    <w:multiLevelType w:val="multilevel"/>
    <w:tmpl w:val="3B30EC0E"/>
    <w:numStyleLink w:val="Styl1"/>
  </w:abstractNum>
  <w:abstractNum w:abstractNumId="11">
    <w:nsid w:val="0DE833E1"/>
    <w:multiLevelType w:val="hybridMultilevel"/>
    <w:tmpl w:val="F120DC26"/>
    <w:lvl w:ilvl="0" w:tplc="9FCE4C32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2">
    <w:nsid w:val="15742AC0"/>
    <w:multiLevelType w:val="singleLevel"/>
    <w:tmpl w:val="674A1A2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3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>
    <w:nsid w:val="248A09ED"/>
    <w:multiLevelType w:val="multilevel"/>
    <w:tmpl w:val="3B30EC0E"/>
    <w:numStyleLink w:val="Styl1"/>
  </w:abstractNum>
  <w:abstractNum w:abstractNumId="15">
    <w:nsid w:val="2D4E3A4B"/>
    <w:multiLevelType w:val="hybridMultilevel"/>
    <w:tmpl w:val="97145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E16AA"/>
    <w:multiLevelType w:val="multilevel"/>
    <w:tmpl w:val="B77E0D4A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2986" w:hanging="576"/>
      </w:pPr>
      <w:rPr>
        <w:rFonts w:cs="Times New Roman"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7">
    <w:nsid w:val="32BF1676"/>
    <w:multiLevelType w:val="hybridMultilevel"/>
    <w:tmpl w:val="C2A83CFC"/>
    <w:lvl w:ilvl="0" w:tplc="35DEF876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62326B3"/>
    <w:multiLevelType w:val="multilevel"/>
    <w:tmpl w:val="3B30EC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>
    <w:nsid w:val="3CA971F2"/>
    <w:multiLevelType w:val="hybridMultilevel"/>
    <w:tmpl w:val="877E739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>
    <w:nsid w:val="583B2887"/>
    <w:multiLevelType w:val="hybridMultilevel"/>
    <w:tmpl w:val="40E890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1624F1"/>
    <w:multiLevelType w:val="multilevel"/>
    <w:tmpl w:val="E158918E"/>
    <w:lvl w:ilvl="0">
      <w:start w:val="2"/>
      <w:numFmt w:val="decimal"/>
      <w:lvlText w:val="%1"/>
      <w:lvlJc w:val="left"/>
      <w:pPr>
        <w:ind w:left="600" w:hanging="600"/>
      </w:pPr>
      <w:rPr>
        <w:rFonts w:ascii="Arial" w:eastAsia="Times New Roman" w:hAnsi="Arial" w:cs="Times New Roman" w:hint="default"/>
        <w:color w:val="0000FF"/>
        <w:u w:val="single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ascii="Arial" w:eastAsia="Times New Roman" w:hAnsi="Arial" w:cs="Times New Roman" w:hint="default"/>
        <w:color w:val="0000FF"/>
        <w:u w:val="single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ascii="Arial" w:eastAsia="Times New Roman" w:hAnsi="Arial" w:cs="Times New Roman"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eastAsia="Times New Roman" w:hAnsi="Arial" w:cs="Times New Roman"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Arial" w:eastAsia="Times New Roman" w:hAnsi="Arial" w:cs="Times New Roman"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eastAsia="Times New Roman" w:hAnsi="Arial" w:cs="Times New Roman"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Arial" w:eastAsia="Times New Roman" w:hAnsi="Arial" w:cs="Times New Roman"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eastAsia="Times New Roman" w:hAnsi="Arial" w:cs="Times New Roman"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Arial" w:eastAsia="Times New Roman" w:hAnsi="Arial" w:cs="Times New Roman" w:hint="default"/>
        <w:color w:val="0000FF"/>
        <w:u w:val="single"/>
      </w:rPr>
    </w:lvl>
  </w:abstractNum>
  <w:abstractNum w:abstractNumId="24">
    <w:nsid w:val="5B63347C"/>
    <w:multiLevelType w:val="hybridMultilevel"/>
    <w:tmpl w:val="6824AE60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1521A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>
    <w:nsid w:val="60F852A9"/>
    <w:multiLevelType w:val="hybridMultilevel"/>
    <w:tmpl w:val="E036FF1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3312116"/>
    <w:multiLevelType w:val="hybridMultilevel"/>
    <w:tmpl w:val="0304F3B0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C74717A">
      <w:start w:val="6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5E55EC0"/>
    <w:multiLevelType w:val="hybridMultilevel"/>
    <w:tmpl w:val="DD92A64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6CA963F7"/>
    <w:multiLevelType w:val="hybridMultilevel"/>
    <w:tmpl w:val="2160AAFA"/>
    <w:lvl w:ilvl="0" w:tplc="9FCE4C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FA7C5F"/>
    <w:multiLevelType w:val="hybridMultilevel"/>
    <w:tmpl w:val="470AA61E"/>
    <w:lvl w:ilvl="0" w:tplc="9FCE4C32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>
    <w:nsid w:val="7210229D"/>
    <w:multiLevelType w:val="hybridMultilevel"/>
    <w:tmpl w:val="1D1E8A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7B09F6"/>
    <w:multiLevelType w:val="multilevel"/>
    <w:tmpl w:val="2C4A997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>
    <w:nsid w:val="752B4960"/>
    <w:multiLevelType w:val="hybridMultilevel"/>
    <w:tmpl w:val="89DA18DC"/>
    <w:lvl w:ilvl="0" w:tplc="1D5C9B86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21"/>
  </w:num>
  <w:num w:numId="14">
    <w:abstractNumId w:val="14"/>
  </w:num>
  <w:num w:numId="15">
    <w:abstractNumId w:val="10"/>
  </w:num>
  <w:num w:numId="16">
    <w:abstractNumId w:val="25"/>
  </w:num>
  <w:num w:numId="17">
    <w:abstractNumId w:val="18"/>
  </w:num>
  <w:num w:numId="18">
    <w:abstractNumId w:val="32"/>
  </w:num>
  <w:num w:numId="19">
    <w:abstractNumId w:val="28"/>
  </w:num>
  <w:num w:numId="20">
    <w:abstractNumId w:val="19"/>
  </w:num>
  <w:num w:numId="21">
    <w:abstractNumId w:val="29"/>
  </w:num>
  <w:num w:numId="22">
    <w:abstractNumId w:val="11"/>
  </w:num>
  <w:num w:numId="23">
    <w:abstractNumId w:val="30"/>
  </w:num>
  <w:num w:numId="24">
    <w:abstractNumId w:val="16"/>
  </w:num>
  <w:num w:numId="25">
    <w:abstractNumId w:val="16"/>
  </w:num>
  <w:num w:numId="26">
    <w:abstractNumId w:val="16"/>
  </w:num>
  <w:num w:numId="27">
    <w:abstractNumId w:val="23"/>
  </w:num>
  <w:num w:numId="28">
    <w:abstractNumId w:val="13"/>
  </w:num>
  <w:num w:numId="29">
    <w:abstractNumId w:val="13"/>
  </w:num>
  <w:num w:numId="30">
    <w:abstractNumId w:val="26"/>
  </w:num>
  <w:num w:numId="31">
    <w:abstractNumId w:val="16"/>
  </w:num>
  <w:num w:numId="32">
    <w:abstractNumId w:val="12"/>
  </w:num>
  <w:num w:numId="33">
    <w:abstractNumId w:val="22"/>
  </w:num>
  <w:num w:numId="34">
    <w:abstractNumId w:val="16"/>
  </w:num>
  <w:num w:numId="35">
    <w:abstractNumId w:val="16"/>
  </w:num>
  <w:num w:numId="36">
    <w:abstractNumId w:val="15"/>
  </w:num>
  <w:num w:numId="37">
    <w:abstractNumId w:val="16"/>
  </w:num>
  <w:num w:numId="38">
    <w:abstractNumId w:val="24"/>
  </w:num>
  <w:num w:numId="39">
    <w:abstractNumId w:val="17"/>
  </w:num>
  <w:num w:numId="40">
    <w:abstractNumId w:val="20"/>
  </w:num>
  <w:num w:numId="41">
    <w:abstractNumId w:val="33"/>
  </w:num>
  <w:num w:numId="42">
    <w:abstractNumId w:val="31"/>
  </w:num>
  <w:num w:numId="43">
    <w:abstractNumId w:val="2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971"/>
    <w:rsid w:val="000048E7"/>
    <w:rsid w:val="00004AEA"/>
    <w:rsid w:val="000055B6"/>
    <w:rsid w:val="0001052F"/>
    <w:rsid w:val="00013357"/>
    <w:rsid w:val="00014CCC"/>
    <w:rsid w:val="00015360"/>
    <w:rsid w:val="00015B09"/>
    <w:rsid w:val="000177DD"/>
    <w:rsid w:val="0002403B"/>
    <w:rsid w:val="000241C5"/>
    <w:rsid w:val="00025680"/>
    <w:rsid w:val="0003074C"/>
    <w:rsid w:val="000364AC"/>
    <w:rsid w:val="00036F57"/>
    <w:rsid w:val="00041A62"/>
    <w:rsid w:val="00041E63"/>
    <w:rsid w:val="00043E89"/>
    <w:rsid w:val="0004546F"/>
    <w:rsid w:val="000467C4"/>
    <w:rsid w:val="00046F87"/>
    <w:rsid w:val="0005737D"/>
    <w:rsid w:val="0006329F"/>
    <w:rsid w:val="00065780"/>
    <w:rsid w:val="0006717D"/>
    <w:rsid w:val="00072B43"/>
    <w:rsid w:val="00072DC1"/>
    <w:rsid w:val="0007429B"/>
    <w:rsid w:val="0007530A"/>
    <w:rsid w:val="00083D5B"/>
    <w:rsid w:val="00084036"/>
    <w:rsid w:val="00084A72"/>
    <w:rsid w:val="0009354B"/>
    <w:rsid w:val="000948E8"/>
    <w:rsid w:val="0009493F"/>
    <w:rsid w:val="0009537E"/>
    <w:rsid w:val="00096285"/>
    <w:rsid w:val="00096E90"/>
    <w:rsid w:val="000A0097"/>
    <w:rsid w:val="000A0676"/>
    <w:rsid w:val="000A2A91"/>
    <w:rsid w:val="000A2E9D"/>
    <w:rsid w:val="000A2F4B"/>
    <w:rsid w:val="000A55FF"/>
    <w:rsid w:val="000A6EC8"/>
    <w:rsid w:val="000A7417"/>
    <w:rsid w:val="000B056A"/>
    <w:rsid w:val="000B2F09"/>
    <w:rsid w:val="000B37B5"/>
    <w:rsid w:val="000B6950"/>
    <w:rsid w:val="000B7512"/>
    <w:rsid w:val="000C0B29"/>
    <w:rsid w:val="000C5B8B"/>
    <w:rsid w:val="000C7D7F"/>
    <w:rsid w:val="000D07BE"/>
    <w:rsid w:val="000D0922"/>
    <w:rsid w:val="000D20ED"/>
    <w:rsid w:val="000D24F5"/>
    <w:rsid w:val="000D72FA"/>
    <w:rsid w:val="000D7BB6"/>
    <w:rsid w:val="000E426B"/>
    <w:rsid w:val="000E4FE7"/>
    <w:rsid w:val="000E5B84"/>
    <w:rsid w:val="000E6F99"/>
    <w:rsid w:val="000E70A7"/>
    <w:rsid w:val="000E7BC1"/>
    <w:rsid w:val="000F1A03"/>
    <w:rsid w:val="000F560C"/>
    <w:rsid w:val="000F6429"/>
    <w:rsid w:val="000F776E"/>
    <w:rsid w:val="000F7EAA"/>
    <w:rsid w:val="00105898"/>
    <w:rsid w:val="00112087"/>
    <w:rsid w:val="00114484"/>
    <w:rsid w:val="001145AF"/>
    <w:rsid w:val="00115685"/>
    <w:rsid w:val="00115933"/>
    <w:rsid w:val="00115975"/>
    <w:rsid w:val="00117F68"/>
    <w:rsid w:val="001225B3"/>
    <w:rsid w:val="001236A3"/>
    <w:rsid w:val="0012440C"/>
    <w:rsid w:val="00124EE3"/>
    <w:rsid w:val="00127942"/>
    <w:rsid w:val="00144873"/>
    <w:rsid w:val="001512E4"/>
    <w:rsid w:val="001519B9"/>
    <w:rsid w:val="00153835"/>
    <w:rsid w:val="00162FA4"/>
    <w:rsid w:val="00173586"/>
    <w:rsid w:val="00173630"/>
    <w:rsid w:val="00177139"/>
    <w:rsid w:val="001803DB"/>
    <w:rsid w:val="001810A2"/>
    <w:rsid w:val="00181433"/>
    <w:rsid w:val="00183687"/>
    <w:rsid w:val="00185B8C"/>
    <w:rsid w:val="00187CBC"/>
    <w:rsid w:val="001968CF"/>
    <w:rsid w:val="00197319"/>
    <w:rsid w:val="001979C5"/>
    <w:rsid w:val="001A0355"/>
    <w:rsid w:val="001A0F15"/>
    <w:rsid w:val="001A11AB"/>
    <w:rsid w:val="001A1316"/>
    <w:rsid w:val="001B3925"/>
    <w:rsid w:val="001B3D88"/>
    <w:rsid w:val="001B4C69"/>
    <w:rsid w:val="001B4F50"/>
    <w:rsid w:val="001B59C4"/>
    <w:rsid w:val="001B6D56"/>
    <w:rsid w:val="001B6E81"/>
    <w:rsid w:val="001C01AB"/>
    <w:rsid w:val="001C0E63"/>
    <w:rsid w:val="001C31E0"/>
    <w:rsid w:val="001C4FE8"/>
    <w:rsid w:val="001D0888"/>
    <w:rsid w:val="001D20E7"/>
    <w:rsid w:val="001D29C1"/>
    <w:rsid w:val="001D3009"/>
    <w:rsid w:val="001D3391"/>
    <w:rsid w:val="001D582B"/>
    <w:rsid w:val="001D5B03"/>
    <w:rsid w:val="001E5F01"/>
    <w:rsid w:val="001E7239"/>
    <w:rsid w:val="001E73BB"/>
    <w:rsid w:val="001F4918"/>
    <w:rsid w:val="001F49B0"/>
    <w:rsid w:val="001F53FC"/>
    <w:rsid w:val="00205801"/>
    <w:rsid w:val="00207E1A"/>
    <w:rsid w:val="002102E5"/>
    <w:rsid w:val="00211D14"/>
    <w:rsid w:val="002139CF"/>
    <w:rsid w:val="00214C71"/>
    <w:rsid w:val="00222F85"/>
    <w:rsid w:val="00223549"/>
    <w:rsid w:val="00227C28"/>
    <w:rsid w:val="00227C66"/>
    <w:rsid w:val="00240337"/>
    <w:rsid w:val="002406F3"/>
    <w:rsid w:val="00242C27"/>
    <w:rsid w:val="002444E5"/>
    <w:rsid w:val="002458D1"/>
    <w:rsid w:val="0024639A"/>
    <w:rsid w:val="00251ED6"/>
    <w:rsid w:val="0025704C"/>
    <w:rsid w:val="0026015B"/>
    <w:rsid w:val="00262EAF"/>
    <w:rsid w:val="00264A3E"/>
    <w:rsid w:val="00266870"/>
    <w:rsid w:val="00267E6D"/>
    <w:rsid w:val="0027566E"/>
    <w:rsid w:val="00277AF2"/>
    <w:rsid w:val="00283C2F"/>
    <w:rsid w:val="002859F8"/>
    <w:rsid w:val="00285B7B"/>
    <w:rsid w:val="0028696C"/>
    <w:rsid w:val="002910A4"/>
    <w:rsid w:val="0029383F"/>
    <w:rsid w:val="002A0032"/>
    <w:rsid w:val="002A098E"/>
    <w:rsid w:val="002A34BF"/>
    <w:rsid w:val="002A60D7"/>
    <w:rsid w:val="002B040C"/>
    <w:rsid w:val="002B17FA"/>
    <w:rsid w:val="002B5080"/>
    <w:rsid w:val="002B5374"/>
    <w:rsid w:val="002B5F0F"/>
    <w:rsid w:val="002B5FC3"/>
    <w:rsid w:val="002B68B9"/>
    <w:rsid w:val="002C4E4E"/>
    <w:rsid w:val="002D1CC1"/>
    <w:rsid w:val="002D4543"/>
    <w:rsid w:val="002E0A0C"/>
    <w:rsid w:val="002E258B"/>
    <w:rsid w:val="002E2702"/>
    <w:rsid w:val="002E3B9F"/>
    <w:rsid w:val="002E55D7"/>
    <w:rsid w:val="002F0E01"/>
    <w:rsid w:val="002F1B95"/>
    <w:rsid w:val="002F2467"/>
    <w:rsid w:val="002F2473"/>
    <w:rsid w:val="002F329B"/>
    <w:rsid w:val="002F7E61"/>
    <w:rsid w:val="00304EDB"/>
    <w:rsid w:val="00310A08"/>
    <w:rsid w:val="003129A1"/>
    <w:rsid w:val="00315C3F"/>
    <w:rsid w:val="00335406"/>
    <w:rsid w:val="00335FAD"/>
    <w:rsid w:val="00340F93"/>
    <w:rsid w:val="00341B50"/>
    <w:rsid w:val="00342450"/>
    <w:rsid w:val="00343169"/>
    <w:rsid w:val="003435CA"/>
    <w:rsid w:val="003448E7"/>
    <w:rsid w:val="00354D24"/>
    <w:rsid w:val="00355414"/>
    <w:rsid w:val="00362E25"/>
    <w:rsid w:val="003633BD"/>
    <w:rsid w:val="00363DDC"/>
    <w:rsid w:val="00364BEB"/>
    <w:rsid w:val="0037178B"/>
    <w:rsid w:val="00376C86"/>
    <w:rsid w:val="003804C6"/>
    <w:rsid w:val="00383D73"/>
    <w:rsid w:val="0039012C"/>
    <w:rsid w:val="00390F2E"/>
    <w:rsid w:val="00391DEF"/>
    <w:rsid w:val="0039264F"/>
    <w:rsid w:val="00393398"/>
    <w:rsid w:val="00394587"/>
    <w:rsid w:val="00395594"/>
    <w:rsid w:val="00395D71"/>
    <w:rsid w:val="0039664D"/>
    <w:rsid w:val="0039700F"/>
    <w:rsid w:val="003A2AD3"/>
    <w:rsid w:val="003A3921"/>
    <w:rsid w:val="003A4431"/>
    <w:rsid w:val="003A695D"/>
    <w:rsid w:val="003A6F23"/>
    <w:rsid w:val="003B02EE"/>
    <w:rsid w:val="003B1838"/>
    <w:rsid w:val="003B1DAF"/>
    <w:rsid w:val="003B2CB7"/>
    <w:rsid w:val="003B30D9"/>
    <w:rsid w:val="003B33BD"/>
    <w:rsid w:val="003C0107"/>
    <w:rsid w:val="003C0B3C"/>
    <w:rsid w:val="003C3AA3"/>
    <w:rsid w:val="003C44D5"/>
    <w:rsid w:val="003C797E"/>
    <w:rsid w:val="003D2F21"/>
    <w:rsid w:val="003D471C"/>
    <w:rsid w:val="003E5C15"/>
    <w:rsid w:val="003E5F9D"/>
    <w:rsid w:val="003F003C"/>
    <w:rsid w:val="003F3EED"/>
    <w:rsid w:val="003F4655"/>
    <w:rsid w:val="003F528F"/>
    <w:rsid w:val="003F7627"/>
    <w:rsid w:val="003F7B55"/>
    <w:rsid w:val="00401A58"/>
    <w:rsid w:val="00404CE8"/>
    <w:rsid w:val="00406965"/>
    <w:rsid w:val="00410549"/>
    <w:rsid w:val="0041077E"/>
    <w:rsid w:val="00410C8E"/>
    <w:rsid w:val="00411147"/>
    <w:rsid w:val="00412EF5"/>
    <w:rsid w:val="0041764A"/>
    <w:rsid w:val="00426B31"/>
    <w:rsid w:val="004355A6"/>
    <w:rsid w:val="004359FB"/>
    <w:rsid w:val="004372A9"/>
    <w:rsid w:val="00444126"/>
    <w:rsid w:val="004454A4"/>
    <w:rsid w:val="00450E43"/>
    <w:rsid w:val="00451621"/>
    <w:rsid w:val="00455A25"/>
    <w:rsid w:val="00457373"/>
    <w:rsid w:val="00461FB3"/>
    <w:rsid w:val="004622A2"/>
    <w:rsid w:val="00463EF7"/>
    <w:rsid w:val="00464B26"/>
    <w:rsid w:val="00466344"/>
    <w:rsid w:val="004679E6"/>
    <w:rsid w:val="004718A3"/>
    <w:rsid w:val="00482308"/>
    <w:rsid w:val="00482309"/>
    <w:rsid w:val="00486340"/>
    <w:rsid w:val="00490C47"/>
    <w:rsid w:val="004927C3"/>
    <w:rsid w:val="00493909"/>
    <w:rsid w:val="00494F07"/>
    <w:rsid w:val="00494F2C"/>
    <w:rsid w:val="00496405"/>
    <w:rsid w:val="004A0E7A"/>
    <w:rsid w:val="004B160F"/>
    <w:rsid w:val="004B1FBC"/>
    <w:rsid w:val="004B24B3"/>
    <w:rsid w:val="004B42B9"/>
    <w:rsid w:val="004B4D60"/>
    <w:rsid w:val="004B5D8C"/>
    <w:rsid w:val="004B5DB1"/>
    <w:rsid w:val="004B646E"/>
    <w:rsid w:val="004B6931"/>
    <w:rsid w:val="004B7CDC"/>
    <w:rsid w:val="004C089E"/>
    <w:rsid w:val="004C2433"/>
    <w:rsid w:val="004C44A7"/>
    <w:rsid w:val="004C451E"/>
    <w:rsid w:val="004C47A2"/>
    <w:rsid w:val="004C6B45"/>
    <w:rsid w:val="004C7676"/>
    <w:rsid w:val="004D03D0"/>
    <w:rsid w:val="004D04A7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4F2342"/>
    <w:rsid w:val="004F2C99"/>
    <w:rsid w:val="00501F5E"/>
    <w:rsid w:val="005065C8"/>
    <w:rsid w:val="00510960"/>
    <w:rsid w:val="00511339"/>
    <w:rsid w:val="0052011D"/>
    <w:rsid w:val="00522801"/>
    <w:rsid w:val="00523510"/>
    <w:rsid w:val="0052730A"/>
    <w:rsid w:val="00531366"/>
    <w:rsid w:val="005319F2"/>
    <w:rsid w:val="005330E1"/>
    <w:rsid w:val="00533345"/>
    <w:rsid w:val="005334BA"/>
    <w:rsid w:val="005369F8"/>
    <w:rsid w:val="0053755D"/>
    <w:rsid w:val="005432BB"/>
    <w:rsid w:val="00544418"/>
    <w:rsid w:val="00545A73"/>
    <w:rsid w:val="00546440"/>
    <w:rsid w:val="00546FFA"/>
    <w:rsid w:val="00555253"/>
    <w:rsid w:val="0055685B"/>
    <w:rsid w:val="005607BD"/>
    <w:rsid w:val="0056528F"/>
    <w:rsid w:val="00565B5E"/>
    <w:rsid w:val="00565FC0"/>
    <w:rsid w:val="00570749"/>
    <w:rsid w:val="005707D4"/>
    <w:rsid w:val="00571C3B"/>
    <w:rsid w:val="00573772"/>
    <w:rsid w:val="00576A9F"/>
    <w:rsid w:val="00580A49"/>
    <w:rsid w:val="00582471"/>
    <w:rsid w:val="005828AC"/>
    <w:rsid w:val="005828DF"/>
    <w:rsid w:val="005849B9"/>
    <w:rsid w:val="00585C93"/>
    <w:rsid w:val="0058740F"/>
    <w:rsid w:val="00587F94"/>
    <w:rsid w:val="00591029"/>
    <w:rsid w:val="005928B2"/>
    <w:rsid w:val="00594224"/>
    <w:rsid w:val="00594370"/>
    <w:rsid w:val="00595913"/>
    <w:rsid w:val="005967FA"/>
    <w:rsid w:val="005971BF"/>
    <w:rsid w:val="005A01D2"/>
    <w:rsid w:val="005A04F7"/>
    <w:rsid w:val="005A4663"/>
    <w:rsid w:val="005A4E4A"/>
    <w:rsid w:val="005A6088"/>
    <w:rsid w:val="005B5905"/>
    <w:rsid w:val="005B78CF"/>
    <w:rsid w:val="005C3939"/>
    <w:rsid w:val="005C4F19"/>
    <w:rsid w:val="005D2261"/>
    <w:rsid w:val="005D30D0"/>
    <w:rsid w:val="005E1224"/>
    <w:rsid w:val="005E2BAE"/>
    <w:rsid w:val="005E4E1C"/>
    <w:rsid w:val="005E674F"/>
    <w:rsid w:val="005E69F4"/>
    <w:rsid w:val="005E74A1"/>
    <w:rsid w:val="005E7D19"/>
    <w:rsid w:val="005F13FF"/>
    <w:rsid w:val="005F3400"/>
    <w:rsid w:val="005F4EB2"/>
    <w:rsid w:val="005F55B4"/>
    <w:rsid w:val="00600AAB"/>
    <w:rsid w:val="00601BBE"/>
    <w:rsid w:val="00603493"/>
    <w:rsid w:val="00610840"/>
    <w:rsid w:val="006113D6"/>
    <w:rsid w:val="006138D3"/>
    <w:rsid w:val="006209A0"/>
    <w:rsid w:val="0062258E"/>
    <w:rsid w:val="006230D1"/>
    <w:rsid w:val="006251F2"/>
    <w:rsid w:val="00625EB4"/>
    <w:rsid w:val="00626929"/>
    <w:rsid w:val="006270AF"/>
    <w:rsid w:val="0063028A"/>
    <w:rsid w:val="00630A04"/>
    <w:rsid w:val="00631796"/>
    <w:rsid w:val="00632013"/>
    <w:rsid w:val="006324E7"/>
    <w:rsid w:val="00633224"/>
    <w:rsid w:val="0063481D"/>
    <w:rsid w:val="00635471"/>
    <w:rsid w:val="006400D7"/>
    <w:rsid w:val="00641013"/>
    <w:rsid w:val="00643880"/>
    <w:rsid w:val="0064440F"/>
    <w:rsid w:val="00645301"/>
    <w:rsid w:val="006465BC"/>
    <w:rsid w:val="0064788C"/>
    <w:rsid w:val="006540C5"/>
    <w:rsid w:val="00654FE9"/>
    <w:rsid w:val="006639BF"/>
    <w:rsid w:val="00665622"/>
    <w:rsid w:val="00665650"/>
    <w:rsid w:val="00671BA9"/>
    <w:rsid w:val="00672127"/>
    <w:rsid w:val="00672C0E"/>
    <w:rsid w:val="00673426"/>
    <w:rsid w:val="006750D4"/>
    <w:rsid w:val="00675A79"/>
    <w:rsid w:val="006835F6"/>
    <w:rsid w:val="00683D60"/>
    <w:rsid w:val="00683FA6"/>
    <w:rsid w:val="00684FCF"/>
    <w:rsid w:val="00685CE3"/>
    <w:rsid w:val="0068779C"/>
    <w:rsid w:val="0069155D"/>
    <w:rsid w:val="00693808"/>
    <w:rsid w:val="00693C6C"/>
    <w:rsid w:val="00695826"/>
    <w:rsid w:val="00696DC6"/>
    <w:rsid w:val="006974CC"/>
    <w:rsid w:val="006977E7"/>
    <w:rsid w:val="006A1972"/>
    <w:rsid w:val="006B2223"/>
    <w:rsid w:val="006B3FCD"/>
    <w:rsid w:val="006B458B"/>
    <w:rsid w:val="006B62D6"/>
    <w:rsid w:val="006B6513"/>
    <w:rsid w:val="006C1F00"/>
    <w:rsid w:val="006C6B7B"/>
    <w:rsid w:val="006C740C"/>
    <w:rsid w:val="006C7F23"/>
    <w:rsid w:val="006D01D1"/>
    <w:rsid w:val="006D194B"/>
    <w:rsid w:val="006D5A46"/>
    <w:rsid w:val="006E0FCD"/>
    <w:rsid w:val="006E2ABD"/>
    <w:rsid w:val="006E5DBC"/>
    <w:rsid w:val="006F3AB5"/>
    <w:rsid w:val="006F6F71"/>
    <w:rsid w:val="00700129"/>
    <w:rsid w:val="00706ACA"/>
    <w:rsid w:val="0071039B"/>
    <w:rsid w:val="0071225A"/>
    <w:rsid w:val="007134F1"/>
    <w:rsid w:val="00714F3C"/>
    <w:rsid w:val="00716400"/>
    <w:rsid w:val="00720C1F"/>
    <w:rsid w:val="00722683"/>
    <w:rsid w:val="0072384D"/>
    <w:rsid w:val="00724437"/>
    <w:rsid w:val="007247C7"/>
    <w:rsid w:val="0072527F"/>
    <w:rsid w:val="00726C91"/>
    <w:rsid w:val="00726FE8"/>
    <w:rsid w:val="00736053"/>
    <w:rsid w:val="00736095"/>
    <w:rsid w:val="00737CE1"/>
    <w:rsid w:val="00740259"/>
    <w:rsid w:val="00740FB4"/>
    <w:rsid w:val="00744ACF"/>
    <w:rsid w:val="00745B35"/>
    <w:rsid w:val="0074619B"/>
    <w:rsid w:val="00746201"/>
    <w:rsid w:val="00747025"/>
    <w:rsid w:val="00750DDE"/>
    <w:rsid w:val="007513D8"/>
    <w:rsid w:val="00755D41"/>
    <w:rsid w:val="00757B8D"/>
    <w:rsid w:val="00757D79"/>
    <w:rsid w:val="00765AB2"/>
    <w:rsid w:val="00766959"/>
    <w:rsid w:val="007714B6"/>
    <w:rsid w:val="00771B66"/>
    <w:rsid w:val="007722C6"/>
    <w:rsid w:val="0077271F"/>
    <w:rsid w:val="00772750"/>
    <w:rsid w:val="0077380C"/>
    <w:rsid w:val="00774905"/>
    <w:rsid w:val="00777666"/>
    <w:rsid w:val="00781FE5"/>
    <w:rsid w:val="00783051"/>
    <w:rsid w:val="00784311"/>
    <w:rsid w:val="00787DB2"/>
    <w:rsid w:val="00790CFB"/>
    <w:rsid w:val="00793CAA"/>
    <w:rsid w:val="007A2603"/>
    <w:rsid w:val="007B0993"/>
    <w:rsid w:val="007B1B65"/>
    <w:rsid w:val="007B30F8"/>
    <w:rsid w:val="007B5916"/>
    <w:rsid w:val="007B6CB6"/>
    <w:rsid w:val="007C6D7A"/>
    <w:rsid w:val="007D1A15"/>
    <w:rsid w:val="007D4419"/>
    <w:rsid w:val="007D4C00"/>
    <w:rsid w:val="007D7FC3"/>
    <w:rsid w:val="007E13A6"/>
    <w:rsid w:val="007E3A13"/>
    <w:rsid w:val="007E494A"/>
    <w:rsid w:val="007E6B8E"/>
    <w:rsid w:val="007F0033"/>
    <w:rsid w:val="007F090A"/>
    <w:rsid w:val="007F7F53"/>
    <w:rsid w:val="008017F2"/>
    <w:rsid w:val="00802C72"/>
    <w:rsid w:val="00803D34"/>
    <w:rsid w:val="00803DC6"/>
    <w:rsid w:val="0080597B"/>
    <w:rsid w:val="008158BE"/>
    <w:rsid w:val="00816367"/>
    <w:rsid w:val="00820166"/>
    <w:rsid w:val="00822421"/>
    <w:rsid w:val="00824F7B"/>
    <w:rsid w:val="00832887"/>
    <w:rsid w:val="00832E31"/>
    <w:rsid w:val="00832F53"/>
    <w:rsid w:val="008554E2"/>
    <w:rsid w:val="00855F9E"/>
    <w:rsid w:val="0085761D"/>
    <w:rsid w:val="00860ADC"/>
    <w:rsid w:val="00862B04"/>
    <w:rsid w:val="00863549"/>
    <w:rsid w:val="0086357A"/>
    <w:rsid w:val="008636E1"/>
    <w:rsid w:val="00863BC5"/>
    <w:rsid w:val="00866227"/>
    <w:rsid w:val="00872566"/>
    <w:rsid w:val="0088040C"/>
    <w:rsid w:val="008807A4"/>
    <w:rsid w:val="00881ECA"/>
    <w:rsid w:val="00882684"/>
    <w:rsid w:val="00884390"/>
    <w:rsid w:val="00884FEE"/>
    <w:rsid w:val="00891C99"/>
    <w:rsid w:val="00892F8C"/>
    <w:rsid w:val="00894F5B"/>
    <w:rsid w:val="00896615"/>
    <w:rsid w:val="00897C60"/>
    <w:rsid w:val="008A0822"/>
    <w:rsid w:val="008A136E"/>
    <w:rsid w:val="008A6464"/>
    <w:rsid w:val="008B0804"/>
    <w:rsid w:val="008B0832"/>
    <w:rsid w:val="008B331F"/>
    <w:rsid w:val="008B7AF0"/>
    <w:rsid w:val="008C0730"/>
    <w:rsid w:val="008C2C73"/>
    <w:rsid w:val="008C2FB6"/>
    <w:rsid w:val="008C39D2"/>
    <w:rsid w:val="008D7ECC"/>
    <w:rsid w:val="008E0A59"/>
    <w:rsid w:val="008E4BEC"/>
    <w:rsid w:val="008E6A13"/>
    <w:rsid w:val="008F1158"/>
    <w:rsid w:val="008F1636"/>
    <w:rsid w:val="008F1EF7"/>
    <w:rsid w:val="008F3460"/>
    <w:rsid w:val="00901D21"/>
    <w:rsid w:val="00904430"/>
    <w:rsid w:val="0090575F"/>
    <w:rsid w:val="009061CF"/>
    <w:rsid w:val="009067A2"/>
    <w:rsid w:val="00910FF2"/>
    <w:rsid w:val="009129B9"/>
    <w:rsid w:val="00914D46"/>
    <w:rsid w:val="009157B3"/>
    <w:rsid w:val="00915C57"/>
    <w:rsid w:val="009162AF"/>
    <w:rsid w:val="00922491"/>
    <w:rsid w:val="009225E3"/>
    <w:rsid w:val="00922A77"/>
    <w:rsid w:val="009242E9"/>
    <w:rsid w:val="0092617D"/>
    <w:rsid w:val="00926DA0"/>
    <w:rsid w:val="009339D2"/>
    <w:rsid w:val="00937F82"/>
    <w:rsid w:val="0094039C"/>
    <w:rsid w:val="00940764"/>
    <w:rsid w:val="009408CE"/>
    <w:rsid w:val="0094106C"/>
    <w:rsid w:val="0094165D"/>
    <w:rsid w:val="0094208D"/>
    <w:rsid w:val="00942A0A"/>
    <w:rsid w:val="00942DBC"/>
    <w:rsid w:val="009449FE"/>
    <w:rsid w:val="009454CF"/>
    <w:rsid w:val="00950C00"/>
    <w:rsid w:val="00952619"/>
    <w:rsid w:val="00953E40"/>
    <w:rsid w:val="00954192"/>
    <w:rsid w:val="00962289"/>
    <w:rsid w:val="009623B6"/>
    <w:rsid w:val="00964A1E"/>
    <w:rsid w:val="00966D47"/>
    <w:rsid w:val="00970395"/>
    <w:rsid w:val="00971A1E"/>
    <w:rsid w:val="009748A0"/>
    <w:rsid w:val="00977207"/>
    <w:rsid w:val="00977593"/>
    <w:rsid w:val="00982C67"/>
    <w:rsid w:val="00985E3A"/>
    <w:rsid w:val="00986B18"/>
    <w:rsid w:val="0099015C"/>
    <w:rsid w:val="00990507"/>
    <w:rsid w:val="00993B18"/>
    <w:rsid w:val="00995FD8"/>
    <w:rsid w:val="00996505"/>
    <w:rsid w:val="009A342C"/>
    <w:rsid w:val="009A57CA"/>
    <w:rsid w:val="009B1397"/>
    <w:rsid w:val="009B1971"/>
    <w:rsid w:val="009B45C9"/>
    <w:rsid w:val="009C0572"/>
    <w:rsid w:val="009C4A0C"/>
    <w:rsid w:val="009C4EE8"/>
    <w:rsid w:val="009C5514"/>
    <w:rsid w:val="009C77D5"/>
    <w:rsid w:val="009D3AB2"/>
    <w:rsid w:val="009D7E75"/>
    <w:rsid w:val="009E3F86"/>
    <w:rsid w:val="009E42AC"/>
    <w:rsid w:val="009E64AB"/>
    <w:rsid w:val="009E6AB1"/>
    <w:rsid w:val="009E6DE2"/>
    <w:rsid w:val="009F0210"/>
    <w:rsid w:val="009F1D80"/>
    <w:rsid w:val="009F3CE2"/>
    <w:rsid w:val="00A001B3"/>
    <w:rsid w:val="00A01F28"/>
    <w:rsid w:val="00A02D86"/>
    <w:rsid w:val="00A03C9B"/>
    <w:rsid w:val="00A07723"/>
    <w:rsid w:val="00A117DD"/>
    <w:rsid w:val="00A21315"/>
    <w:rsid w:val="00A336C1"/>
    <w:rsid w:val="00A33A19"/>
    <w:rsid w:val="00A400DB"/>
    <w:rsid w:val="00A402BD"/>
    <w:rsid w:val="00A40B5D"/>
    <w:rsid w:val="00A434C5"/>
    <w:rsid w:val="00A438A4"/>
    <w:rsid w:val="00A43944"/>
    <w:rsid w:val="00A5178B"/>
    <w:rsid w:val="00A518BC"/>
    <w:rsid w:val="00A5190A"/>
    <w:rsid w:val="00A53E37"/>
    <w:rsid w:val="00A57055"/>
    <w:rsid w:val="00A607DC"/>
    <w:rsid w:val="00A60832"/>
    <w:rsid w:val="00A6090A"/>
    <w:rsid w:val="00A61E9F"/>
    <w:rsid w:val="00A64D1F"/>
    <w:rsid w:val="00A66359"/>
    <w:rsid w:val="00A70127"/>
    <w:rsid w:val="00A750F8"/>
    <w:rsid w:val="00A75A12"/>
    <w:rsid w:val="00A75EF6"/>
    <w:rsid w:val="00A80215"/>
    <w:rsid w:val="00A823CE"/>
    <w:rsid w:val="00A909DA"/>
    <w:rsid w:val="00A9244E"/>
    <w:rsid w:val="00A924D2"/>
    <w:rsid w:val="00AA0FC3"/>
    <w:rsid w:val="00AA424F"/>
    <w:rsid w:val="00AA76A8"/>
    <w:rsid w:val="00AB1745"/>
    <w:rsid w:val="00AB4D30"/>
    <w:rsid w:val="00AB57AA"/>
    <w:rsid w:val="00AC1A74"/>
    <w:rsid w:val="00AC51A7"/>
    <w:rsid w:val="00AC60BD"/>
    <w:rsid w:val="00AD206F"/>
    <w:rsid w:val="00AD5580"/>
    <w:rsid w:val="00AD7903"/>
    <w:rsid w:val="00AE1356"/>
    <w:rsid w:val="00AE4910"/>
    <w:rsid w:val="00AE5B72"/>
    <w:rsid w:val="00AE6A1E"/>
    <w:rsid w:val="00AF086D"/>
    <w:rsid w:val="00AF3275"/>
    <w:rsid w:val="00AF5680"/>
    <w:rsid w:val="00B00070"/>
    <w:rsid w:val="00B13D05"/>
    <w:rsid w:val="00B159DB"/>
    <w:rsid w:val="00B17374"/>
    <w:rsid w:val="00B21DC1"/>
    <w:rsid w:val="00B21E8D"/>
    <w:rsid w:val="00B237DC"/>
    <w:rsid w:val="00B2715B"/>
    <w:rsid w:val="00B274AB"/>
    <w:rsid w:val="00B275AE"/>
    <w:rsid w:val="00B338DE"/>
    <w:rsid w:val="00B365C2"/>
    <w:rsid w:val="00B37E57"/>
    <w:rsid w:val="00B44E1E"/>
    <w:rsid w:val="00B529E5"/>
    <w:rsid w:val="00B5792D"/>
    <w:rsid w:val="00B60134"/>
    <w:rsid w:val="00B60CA1"/>
    <w:rsid w:val="00B60EF7"/>
    <w:rsid w:val="00B70D64"/>
    <w:rsid w:val="00B714E2"/>
    <w:rsid w:val="00B733DD"/>
    <w:rsid w:val="00B75C45"/>
    <w:rsid w:val="00B8213E"/>
    <w:rsid w:val="00B86987"/>
    <w:rsid w:val="00B87221"/>
    <w:rsid w:val="00B94EB2"/>
    <w:rsid w:val="00B94EF8"/>
    <w:rsid w:val="00BA083D"/>
    <w:rsid w:val="00BA35F0"/>
    <w:rsid w:val="00BA51C1"/>
    <w:rsid w:val="00BA605C"/>
    <w:rsid w:val="00BB2052"/>
    <w:rsid w:val="00BB3C4C"/>
    <w:rsid w:val="00BB45BE"/>
    <w:rsid w:val="00BC3A96"/>
    <w:rsid w:val="00BC7636"/>
    <w:rsid w:val="00BD01ED"/>
    <w:rsid w:val="00BE1336"/>
    <w:rsid w:val="00BF1E4E"/>
    <w:rsid w:val="00BF249B"/>
    <w:rsid w:val="00BF5D87"/>
    <w:rsid w:val="00C0094C"/>
    <w:rsid w:val="00C04318"/>
    <w:rsid w:val="00C05582"/>
    <w:rsid w:val="00C1509B"/>
    <w:rsid w:val="00C2303B"/>
    <w:rsid w:val="00C249DF"/>
    <w:rsid w:val="00C300A3"/>
    <w:rsid w:val="00C305C9"/>
    <w:rsid w:val="00C35FDF"/>
    <w:rsid w:val="00C36216"/>
    <w:rsid w:val="00C41C3A"/>
    <w:rsid w:val="00C4423E"/>
    <w:rsid w:val="00C56061"/>
    <w:rsid w:val="00C570AA"/>
    <w:rsid w:val="00C61579"/>
    <w:rsid w:val="00C6364C"/>
    <w:rsid w:val="00C6394B"/>
    <w:rsid w:val="00C65B0F"/>
    <w:rsid w:val="00C674BD"/>
    <w:rsid w:val="00C7369B"/>
    <w:rsid w:val="00C76AAC"/>
    <w:rsid w:val="00C76E49"/>
    <w:rsid w:val="00C82828"/>
    <w:rsid w:val="00C8298A"/>
    <w:rsid w:val="00C8312C"/>
    <w:rsid w:val="00C845F0"/>
    <w:rsid w:val="00C85193"/>
    <w:rsid w:val="00C911CB"/>
    <w:rsid w:val="00C930E7"/>
    <w:rsid w:val="00C96649"/>
    <w:rsid w:val="00CA2B70"/>
    <w:rsid w:val="00CA35CA"/>
    <w:rsid w:val="00CA396E"/>
    <w:rsid w:val="00CA4079"/>
    <w:rsid w:val="00CA5D3C"/>
    <w:rsid w:val="00CB14DD"/>
    <w:rsid w:val="00CB2A2A"/>
    <w:rsid w:val="00CB2FAE"/>
    <w:rsid w:val="00CB669C"/>
    <w:rsid w:val="00CC17A0"/>
    <w:rsid w:val="00CC2804"/>
    <w:rsid w:val="00CC48DC"/>
    <w:rsid w:val="00CC4CB6"/>
    <w:rsid w:val="00CD1039"/>
    <w:rsid w:val="00CD1F9E"/>
    <w:rsid w:val="00CD3E26"/>
    <w:rsid w:val="00CD6392"/>
    <w:rsid w:val="00CE116D"/>
    <w:rsid w:val="00CE1AE5"/>
    <w:rsid w:val="00CE1E7D"/>
    <w:rsid w:val="00CE2877"/>
    <w:rsid w:val="00CE4FFC"/>
    <w:rsid w:val="00CE626C"/>
    <w:rsid w:val="00CE77D7"/>
    <w:rsid w:val="00CF0C73"/>
    <w:rsid w:val="00D003ED"/>
    <w:rsid w:val="00D012DB"/>
    <w:rsid w:val="00D01C37"/>
    <w:rsid w:val="00D15F8F"/>
    <w:rsid w:val="00D201FD"/>
    <w:rsid w:val="00D26038"/>
    <w:rsid w:val="00D26B96"/>
    <w:rsid w:val="00D26D3A"/>
    <w:rsid w:val="00D31447"/>
    <w:rsid w:val="00D3198E"/>
    <w:rsid w:val="00D33D7C"/>
    <w:rsid w:val="00D34679"/>
    <w:rsid w:val="00D35D06"/>
    <w:rsid w:val="00D35DD5"/>
    <w:rsid w:val="00D421CB"/>
    <w:rsid w:val="00D433C0"/>
    <w:rsid w:val="00D45C91"/>
    <w:rsid w:val="00D5058C"/>
    <w:rsid w:val="00D50810"/>
    <w:rsid w:val="00D50C0F"/>
    <w:rsid w:val="00D56640"/>
    <w:rsid w:val="00D65DAB"/>
    <w:rsid w:val="00D67687"/>
    <w:rsid w:val="00D737F0"/>
    <w:rsid w:val="00D74212"/>
    <w:rsid w:val="00D768B9"/>
    <w:rsid w:val="00D76935"/>
    <w:rsid w:val="00D77190"/>
    <w:rsid w:val="00D80B33"/>
    <w:rsid w:val="00D812DA"/>
    <w:rsid w:val="00D815D3"/>
    <w:rsid w:val="00D82867"/>
    <w:rsid w:val="00D83DD6"/>
    <w:rsid w:val="00D8535E"/>
    <w:rsid w:val="00D855CD"/>
    <w:rsid w:val="00D8782A"/>
    <w:rsid w:val="00D87E36"/>
    <w:rsid w:val="00D90AC8"/>
    <w:rsid w:val="00D962EC"/>
    <w:rsid w:val="00DA2FA8"/>
    <w:rsid w:val="00DA57AA"/>
    <w:rsid w:val="00DA588E"/>
    <w:rsid w:val="00DA61D2"/>
    <w:rsid w:val="00DA7FA1"/>
    <w:rsid w:val="00DB32E9"/>
    <w:rsid w:val="00DB3CAF"/>
    <w:rsid w:val="00DB49A3"/>
    <w:rsid w:val="00DB52D3"/>
    <w:rsid w:val="00DB765F"/>
    <w:rsid w:val="00DC1CBB"/>
    <w:rsid w:val="00DC5220"/>
    <w:rsid w:val="00DC79B4"/>
    <w:rsid w:val="00DD11BC"/>
    <w:rsid w:val="00DD22EB"/>
    <w:rsid w:val="00DD2E4F"/>
    <w:rsid w:val="00DD5794"/>
    <w:rsid w:val="00DD591A"/>
    <w:rsid w:val="00DD7A64"/>
    <w:rsid w:val="00DE350E"/>
    <w:rsid w:val="00DE52C3"/>
    <w:rsid w:val="00DF0A96"/>
    <w:rsid w:val="00E04B3F"/>
    <w:rsid w:val="00E05AA5"/>
    <w:rsid w:val="00E12226"/>
    <w:rsid w:val="00E17BEE"/>
    <w:rsid w:val="00E17D6D"/>
    <w:rsid w:val="00E31EC2"/>
    <w:rsid w:val="00E3278F"/>
    <w:rsid w:val="00E32E2A"/>
    <w:rsid w:val="00E33B4E"/>
    <w:rsid w:val="00E34062"/>
    <w:rsid w:val="00E348EA"/>
    <w:rsid w:val="00E35DDB"/>
    <w:rsid w:val="00E36010"/>
    <w:rsid w:val="00E40039"/>
    <w:rsid w:val="00E42868"/>
    <w:rsid w:val="00E445F0"/>
    <w:rsid w:val="00E47E77"/>
    <w:rsid w:val="00E5091F"/>
    <w:rsid w:val="00E51201"/>
    <w:rsid w:val="00E53134"/>
    <w:rsid w:val="00E62D7A"/>
    <w:rsid w:val="00E65E7D"/>
    <w:rsid w:val="00E717CF"/>
    <w:rsid w:val="00E74A55"/>
    <w:rsid w:val="00E75B4E"/>
    <w:rsid w:val="00E76856"/>
    <w:rsid w:val="00E8247E"/>
    <w:rsid w:val="00E83DE2"/>
    <w:rsid w:val="00E854D8"/>
    <w:rsid w:val="00E86DCC"/>
    <w:rsid w:val="00E871C0"/>
    <w:rsid w:val="00E90956"/>
    <w:rsid w:val="00E91484"/>
    <w:rsid w:val="00E94292"/>
    <w:rsid w:val="00E9449B"/>
    <w:rsid w:val="00E945DD"/>
    <w:rsid w:val="00E9508E"/>
    <w:rsid w:val="00E96259"/>
    <w:rsid w:val="00EA154C"/>
    <w:rsid w:val="00EA3C23"/>
    <w:rsid w:val="00EB06DE"/>
    <w:rsid w:val="00EB1406"/>
    <w:rsid w:val="00EB3157"/>
    <w:rsid w:val="00EB73F4"/>
    <w:rsid w:val="00EC1679"/>
    <w:rsid w:val="00EC1ADA"/>
    <w:rsid w:val="00EC3EE3"/>
    <w:rsid w:val="00EC5B2B"/>
    <w:rsid w:val="00EC607B"/>
    <w:rsid w:val="00ED018A"/>
    <w:rsid w:val="00ED14F8"/>
    <w:rsid w:val="00ED1A8E"/>
    <w:rsid w:val="00ED3422"/>
    <w:rsid w:val="00ED3B7D"/>
    <w:rsid w:val="00ED7CF7"/>
    <w:rsid w:val="00EE0517"/>
    <w:rsid w:val="00EE4CC1"/>
    <w:rsid w:val="00EE62DD"/>
    <w:rsid w:val="00EE6B0C"/>
    <w:rsid w:val="00EF173E"/>
    <w:rsid w:val="00EF1802"/>
    <w:rsid w:val="00EF7126"/>
    <w:rsid w:val="00EF72E3"/>
    <w:rsid w:val="00EF77B6"/>
    <w:rsid w:val="00F00890"/>
    <w:rsid w:val="00F01F59"/>
    <w:rsid w:val="00F039EB"/>
    <w:rsid w:val="00F054FC"/>
    <w:rsid w:val="00F06AC4"/>
    <w:rsid w:val="00F07270"/>
    <w:rsid w:val="00F111DE"/>
    <w:rsid w:val="00F117B3"/>
    <w:rsid w:val="00F118BF"/>
    <w:rsid w:val="00F119B0"/>
    <w:rsid w:val="00F12FDC"/>
    <w:rsid w:val="00F17EBE"/>
    <w:rsid w:val="00F20213"/>
    <w:rsid w:val="00F273C6"/>
    <w:rsid w:val="00F27D5F"/>
    <w:rsid w:val="00F27EF4"/>
    <w:rsid w:val="00F308B1"/>
    <w:rsid w:val="00F31F30"/>
    <w:rsid w:val="00F32D7D"/>
    <w:rsid w:val="00F3397E"/>
    <w:rsid w:val="00F36B2B"/>
    <w:rsid w:val="00F4280A"/>
    <w:rsid w:val="00F4344B"/>
    <w:rsid w:val="00F451B6"/>
    <w:rsid w:val="00F53210"/>
    <w:rsid w:val="00F54011"/>
    <w:rsid w:val="00F548A8"/>
    <w:rsid w:val="00F569E7"/>
    <w:rsid w:val="00F571AF"/>
    <w:rsid w:val="00F66762"/>
    <w:rsid w:val="00F674DF"/>
    <w:rsid w:val="00F712F2"/>
    <w:rsid w:val="00F723FF"/>
    <w:rsid w:val="00F744B4"/>
    <w:rsid w:val="00F74D76"/>
    <w:rsid w:val="00F75229"/>
    <w:rsid w:val="00F82AAB"/>
    <w:rsid w:val="00F84BBE"/>
    <w:rsid w:val="00F87C2E"/>
    <w:rsid w:val="00F907E1"/>
    <w:rsid w:val="00F949E9"/>
    <w:rsid w:val="00FA21EA"/>
    <w:rsid w:val="00FA2C33"/>
    <w:rsid w:val="00FA3EBF"/>
    <w:rsid w:val="00FA43A6"/>
    <w:rsid w:val="00FA7FC0"/>
    <w:rsid w:val="00FB2305"/>
    <w:rsid w:val="00FB28E3"/>
    <w:rsid w:val="00FB2E88"/>
    <w:rsid w:val="00FB4547"/>
    <w:rsid w:val="00FB5CB1"/>
    <w:rsid w:val="00FB6E6B"/>
    <w:rsid w:val="00FB7DBC"/>
    <w:rsid w:val="00FC1799"/>
    <w:rsid w:val="00FC2382"/>
    <w:rsid w:val="00FC4222"/>
    <w:rsid w:val="00FC5485"/>
    <w:rsid w:val="00FC6CCF"/>
    <w:rsid w:val="00FC7A13"/>
    <w:rsid w:val="00FD26CE"/>
    <w:rsid w:val="00FD2805"/>
    <w:rsid w:val="00FE2126"/>
    <w:rsid w:val="00FE43BB"/>
    <w:rsid w:val="00FE4B4F"/>
    <w:rsid w:val="00FE526A"/>
    <w:rsid w:val="00FE5FBE"/>
    <w:rsid w:val="00FE7D9E"/>
    <w:rsid w:val="00FF60CF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BECFD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AA424F"/>
    <w:pPr>
      <w:spacing w:after="120"/>
      <w:ind w:firstLine="397"/>
      <w:contextualSpacing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5707D4"/>
    <w:pPr>
      <w:keepNext/>
      <w:numPr>
        <w:numId w:val="1"/>
      </w:numPr>
      <w:spacing w:before="600"/>
      <w:contextualSpacing w:val="0"/>
      <w:jc w:val="left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Nadpis2">
    <w:name w:val="heading 2"/>
    <w:aliases w:val="Nadpis2"/>
    <w:basedOn w:val="Normln"/>
    <w:next w:val="Normln"/>
    <w:link w:val="Nadpis2Char"/>
    <w:qFormat/>
    <w:rsid w:val="00C4423E"/>
    <w:pPr>
      <w:keepNext/>
      <w:numPr>
        <w:ilvl w:val="1"/>
        <w:numId w:val="1"/>
      </w:numPr>
      <w:spacing w:before="240"/>
      <w:ind w:left="1145" w:hanging="578"/>
      <w:contextualSpacing w:val="0"/>
      <w:jc w:val="left"/>
      <w:outlineLvl w:val="1"/>
    </w:pPr>
    <w:rPr>
      <w:b/>
      <w:sz w:val="28"/>
    </w:rPr>
  </w:style>
  <w:style w:type="paragraph" w:styleId="Nadpis3">
    <w:name w:val="heading 3"/>
    <w:aliases w:val="Nadpis 3 velká písmena"/>
    <w:basedOn w:val="Normln"/>
    <w:next w:val="Normln"/>
    <w:link w:val="Nadpis3Char"/>
    <w:qFormat/>
    <w:rsid w:val="00AA0FC3"/>
    <w:pPr>
      <w:keepNext/>
      <w:numPr>
        <w:ilvl w:val="2"/>
        <w:numId w:val="1"/>
      </w:numPr>
      <w:spacing w:before="120"/>
      <w:contextualSpacing w:val="0"/>
      <w:jc w:val="left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3448E7"/>
    <w:pPr>
      <w:keepNext/>
      <w:numPr>
        <w:ilvl w:val="3"/>
        <w:numId w:val="1"/>
      </w:numPr>
      <w:spacing w:before="120" w:after="60"/>
      <w:contextualSpacing w:val="0"/>
      <w:jc w:val="left"/>
      <w:outlineLvl w:val="3"/>
    </w:pPr>
    <w:rPr>
      <w:b/>
    </w:rPr>
  </w:style>
  <w:style w:type="paragraph" w:styleId="Nadpis5">
    <w:name w:val="heading 5"/>
    <w:aliases w:val="statika"/>
    <w:basedOn w:val="Normln"/>
    <w:next w:val="Normln"/>
    <w:link w:val="Nadpis5Char"/>
    <w:qFormat/>
    <w:rsid w:val="003448E7"/>
    <w:pPr>
      <w:keepNext/>
      <w:numPr>
        <w:ilvl w:val="4"/>
        <w:numId w:val="1"/>
      </w:numPr>
      <w:spacing w:before="120" w:after="60"/>
      <w:ind w:left="851" w:hanging="851"/>
      <w:contextualSpacing w:val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3448E7"/>
    <w:pPr>
      <w:keepNext/>
      <w:numPr>
        <w:ilvl w:val="5"/>
        <w:numId w:val="1"/>
      </w:numPr>
      <w:spacing w:before="120" w:after="60"/>
      <w:ind w:left="851" w:hanging="851"/>
      <w:contextualSpacing w:val="0"/>
      <w:jc w:val="left"/>
      <w:outlineLvl w:val="5"/>
    </w:pPr>
  </w:style>
  <w:style w:type="paragraph" w:styleId="Nadpis7">
    <w:name w:val="heading 7"/>
    <w:basedOn w:val="Normln"/>
    <w:next w:val="Normln"/>
    <w:link w:val="Nadpis7Char"/>
    <w:qFormat/>
    <w:rsid w:val="003448E7"/>
    <w:pPr>
      <w:keepNext/>
      <w:numPr>
        <w:ilvl w:val="6"/>
        <w:numId w:val="1"/>
      </w:numPr>
      <w:spacing w:before="120" w:after="60"/>
      <w:ind w:left="851" w:hanging="851"/>
      <w:contextualSpacing w:val="0"/>
      <w:jc w:val="left"/>
      <w:outlineLvl w:val="6"/>
    </w:pPr>
  </w:style>
  <w:style w:type="paragraph" w:styleId="Nadpis8">
    <w:name w:val="heading 8"/>
    <w:basedOn w:val="Normln"/>
    <w:next w:val="Normln"/>
    <w:link w:val="Nadpis8Char"/>
    <w:qFormat/>
    <w:rsid w:val="003448E7"/>
    <w:pPr>
      <w:keepNext/>
      <w:numPr>
        <w:ilvl w:val="7"/>
        <w:numId w:val="1"/>
      </w:numPr>
      <w:spacing w:before="120" w:after="60"/>
      <w:ind w:left="851" w:hanging="851"/>
      <w:contextualSpacing w:val="0"/>
      <w:jc w:val="left"/>
      <w:outlineLvl w:val="7"/>
    </w:pPr>
  </w:style>
  <w:style w:type="paragraph" w:styleId="Nadpis9">
    <w:name w:val="heading 9"/>
    <w:basedOn w:val="Normln"/>
    <w:next w:val="Normln"/>
    <w:link w:val="Nadpis9Char"/>
    <w:qFormat/>
    <w:rsid w:val="003448E7"/>
    <w:pPr>
      <w:keepNext/>
      <w:numPr>
        <w:ilvl w:val="8"/>
        <w:numId w:val="1"/>
      </w:numPr>
      <w:spacing w:before="120" w:after="60"/>
      <w:ind w:left="851" w:hanging="851"/>
      <w:contextualSpacing w:val="0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7134F1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Nadpis2Char">
    <w:name w:val="Nadpis 2 Char"/>
    <w:aliases w:val="Nadpis2 Char"/>
    <w:link w:val="Nadpis2"/>
    <w:uiPriority w:val="1"/>
    <w:locked/>
    <w:rsid w:val="00C4423E"/>
    <w:rPr>
      <w:rFonts w:ascii="Arial" w:hAnsi="Arial"/>
      <w:b/>
      <w:sz w:val="28"/>
      <w:szCs w:val="20"/>
    </w:rPr>
  </w:style>
  <w:style w:type="character" w:customStyle="1" w:styleId="Nadpis3Char">
    <w:name w:val="Nadpis 3 Char"/>
    <w:aliases w:val="Nadpis 3 velká písmena Char"/>
    <w:link w:val="Nadpis3"/>
    <w:locked/>
    <w:rsid w:val="007134F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7134F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aliases w:val="statika Char"/>
    <w:link w:val="Nadpis5"/>
    <w:uiPriority w:val="99"/>
    <w:semiHidden/>
    <w:locked/>
    <w:rsid w:val="007134F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7134F1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7134F1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7134F1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7134F1"/>
    <w:rPr>
      <w:rFonts w:ascii="Cambria" w:hAnsi="Cambria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F008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134F1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863549"/>
    <w:pPr>
      <w:tabs>
        <w:tab w:val="center" w:pos="4536"/>
        <w:tab w:val="right" w:pos="9072"/>
      </w:tabs>
      <w:spacing w:after="0"/>
      <w:ind w:firstLine="0"/>
      <w:contextualSpacing w:val="0"/>
      <w:jc w:val="center"/>
    </w:pPr>
    <w:rPr>
      <w:sz w:val="16"/>
    </w:rPr>
  </w:style>
  <w:style w:type="character" w:customStyle="1" w:styleId="ZhlavChar">
    <w:name w:val="Záhlaví Char"/>
    <w:link w:val="Zhlav"/>
    <w:uiPriority w:val="99"/>
    <w:semiHidden/>
    <w:locked/>
    <w:rsid w:val="007134F1"/>
    <w:rPr>
      <w:rFonts w:ascii="Arial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601BBE"/>
    <w:pPr>
      <w:tabs>
        <w:tab w:val="center" w:pos="4536"/>
        <w:tab w:val="right" w:pos="9072"/>
      </w:tabs>
      <w:spacing w:after="0"/>
      <w:ind w:firstLine="0"/>
      <w:contextualSpacing w:val="0"/>
      <w:jc w:val="left"/>
    </w:pPr>
    <w:rPr>
      <w:sz w:val="16"/>
    </w:rPr>
  </w:style>
  <w:style w:type="character" w:customStyle="1" w:styleId="ZpatChar">
    <w:name w:val="Zápatí Char"/>
    <w:link w:val="Zpat"/>
    <w:uiPriority w:val="99"/>
    <w:locked/>
    <w:rsid w:val="00FE4B4F"/>
    <w:rPr>
      <w:rFonts w:ascii="Arial" w:hAnsi="Arial" w:cs="Times New Roman"/>
      <w:sz w:val="16"/>
      <w:lang w:val="cs-CZ" w:eastAsia="cs-CZ"/>
    </w:rPr>
  </w:style>
  <w:style w:type="character" w:styleId="slostrnky">
    <w:name w:val="page number"/>
    <w:uiPriority w:val="99"/>
    <w:rsid w:val="004B24B3"/>
    <w:rPr>
      <w:rFonts w:ascii="Arial" w:hAnsi="Arial" w:cs="Times New Roman"/>
      <w:sz w:val="20"/>
    </w:rPr>
  </w:style>
  <w:style w:type="paragraph" w:styleId="Zkladntext">
    <w:name w:val="Body Text"/>
    <w:aliases w:val="termo"/>
    <w:basedOn w:val="Normln"/>
    <w:link w:val="ZkladntextChar"/>
    <w:uiPriority w:val="99"/>
    <w:rsid w:val="00F31F30"/>
    <w:pPr>
      <w:spacing w:after="0"/>
    </w:pPr>
  </w:style>
  <w:style w:type="character" w:customStyle="1" w:styleId="ZkladntextChar">
    <w:name w:val="Základní text Char"/>
    <w:aliases w:val="termo Char"/>
    <w:link w:val="Zkladntext"/>
    <w:uiPriority w:val="99"/>
    <w:locked/>
    <w:rsid w:val="005E674F"/>
    <w:rPr>
      <w:rFonts w:ascii="Arial" w:hAnsi="Arial" w:cs="Times New Roman"/>
      <w:sz w:val="22"/>
    </w:rPr>
  </w:style>
  <w:style w:type="character" w:styleId="Hypertextovodkaz">
    <w:name w:val="Hyperlink"/>
    <w:uiPriority w:val="99"/>
    <w:rsid w:val="006B6513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  <w:spacing w:before="120"/>
      <w:ind w:firstLine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  <w:ind w:firstLine="0"/>
    </w:pPr>
    <w:rPr>
      <w:b/>
      <w:noProof/>
    </w:rPr>
  </w:style>
  <w:style w:type="paragraph" w:styleId="Obsah3">
    <w:name w:val="toc 3"/>
    <w:basedOn w:val="Normln"/>
    <w:next w:val="Normln"/>
    <w:autoRedefine/>
    <w:uiPriority w:val="99"/>
    <w:rsid w:val="00362E25"/>
    <w:pPr>
      <w:tabs>
        <w:tab w:val="left" w:pos="960"/>
        <w:tab w:val="right" w:leader="dot" w:pos="9894"/>
      </w:tabs>
      <w:ind w:firstLine="0"/>
    </w:pPr>
  </w:style>
  <w:style w:type="table" w:styleId="Mkatabulky">
    <w:name w:val="Table Grid"/>
    <w:basedOn w:val="Normlntabulka"/>
    <w:uiPriority w:val="99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99"/>
    <w:rsid w:val="00362E25"/>
    <w:pPr>
      <w:tabs>
        <w:tab w:val="left" w:pos="1134"/>
        <w:tab w:val="right" w:leader="dot" w:pos="9894"/>
      </w:tabs>
      <w:ind w:firstLine="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rsid w:val="00310A08"/>
    <w:pPr>
      <w:tabs>
        <w:tab w:val="left" w:pos="1276"/>
        <w:tab w:val="right" w:leader="dot" w:pos="9894"/>
      </w:tabs>
      <w:ind w:firstLine="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rsid w:val="00310A08"/>
    <w:pPr>
      <w:tabs>
        <w:tab w:val="left" w:pos="1418"/>
        <w:tab w:val="right" w:leader="dot" w:pos="9895"/>
      </w:tabs>
      <w:ind w:firstLine="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rsid w:val="00310A08"/>
    <w:pPr>
      <w:tabs>
        <w:tab w:val="left" w:pos="1559"/>
        <w:tab w:val="right" w:leader="dot" w:pos="9895"/>
      </w:tabs>
      <w:ind w:firstLine="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rsid w:val="00310A08"/>
    <w:pPr>
      <w:tabs>
        <w:tab w:val="left" w:pos="1701"/>
        <w:tab w:val="right" w:leader="dot" w:pos="9895"/>
      </w:tabs>
      <w:ind w:firstLine="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rsid w:val="00310A08"/>
    <w:pPr>
      <w:tabs>
        <w:tab w:val="left" w:pos="1843"/>
        <w:tab w:val="right" w:leader="dot" w:pos="9895"/>
      </w:tabs>
      <w:ind w:firstLine="0"/>
    </w:pPr>
    <w:rPr>
      <w:sz w:val="20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qFormat/>
    <w:rsid w:val="00671BA9"/>
    <w:pPr>
      <w:numPr>
        <w:numId w:val="12"/>
      </w:numPr>
    </w:pPr>
  </w:style>
  <w:style w:type="paragraph" w:customStyle="1" w:styleId="RozpArialmale">
    <w:name w:val="Rozp_Arial_male"/>
    <w:uiPriority w:val="99"/>
    <w:rsid w:val="00863BC5"/>
    <w:pPr>
      <w:spacing w:line="200" w:lineRule="exact"/>
    </w:pPr>
    <w:rPr>
      <w:rFonts w:ascii="Arial Black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uiPriority w:val="99"/>
    <w:rsid w:val="00863BC5"/>
    <w:pPr>
      <w:spacing w:line="320" w:lineRule="exact"/>
    </w:pPr>
    <w:rPr>
      <w:rFonts w:ascii="Arial Black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uiPriority w:val="99"/>
    <w:rsid w:val="00863BC5"/>
    <w:pPr>
      <w:framePr w:hSpace="141" w:wrap="around" w:vAnchor="text" w:hAnchor="text" w:x="89" w:y="5050"/>
    </w:pPr>
    <w:rPr>
      <w:rFonts w:ascii="Arial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uiPriority w:val="99"/>
    <w:rsid w:val="00863BC5"/>
    <w:pPr>
      <w:framePr w:hSpace="141" w:wrap="around" w:vAnchor="text" w:hAnchor="text" w:x="89" w:y="5050"/>
      <w:spacing w:line="300" w:lineRule="exact"/>
    </w:pPr>
    <w:rPr>
      <w:rFonts w:ascii="Arial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uiPriority w:val="99"/>
    <w:rsid w:val="00863BC5"/>
    <w:pPr>
      <w:framePr w:hSpace="141" w:wrap="around" w:vAnchor="text" w:hAnchor="margin" w:y="5496"/>
      <w:spacing w:line="170" w:lineRule="exact"/>
    </w:pPr>
    <w:rPr>
      <w:rFonts w:ascii="Arial" w:hAnsi="Arial"/>
      <w:b/>
      <w:noProof/>
      <w:sz w:val="16"/>
      <w:szCs w:val="22"/>
      <w:lang w:eastAsia="en-US"/>
    </w:rPr>
  </w:style>
  <w:style w:type="paragraph" w:styleId="AdresaHTML">
    <w:name w:val="HTML Address"/>
    <w:basedOn w:val="Normln"/>
    <w:link w:val="AdresaHTMLChar"/>
    <w:uiPriority w:val="99"/>
    <w:rsid w:val="005334BA"/>
    <w:pPr>
      <w:spacing w:after="0"/>
      <w:ind w:firstLine="0"/>
      <w:contextualSpacing w:val="0"/>
    </w:pPr>
    <w:rPr>
      <w:rFonts w:ascii="Times New Roman" w:hAnsi="Times New Roman"/>
      <w:i/>
      <w:iCs/>
      <w:sz w:val="24"/>
      <w:szCs w:val="24"/>
    </w:rPr>
  </w:style>
  <w:style w:type="character" w:customStyle="1" w:styleId="AdresaHTMLChar">
    <w:name w:val="Adresa HTML Char"/>
    <w:link w:val="AdresaHTML"/>
    <w:uiPriority w:val="99"/>
    <w:locked/>
    <w:rsid w:val="005334BA"/>
    <w:rPr>
      <w:rFonts w:cs="Times New Roman"/>
      <w:i/>
      <w:iCs/>
      <w:sz w:val="24"/>
      <w:szCs w:val="24"/>
    </w:rPr>
  </w:style>
  <w:style w:type="paragraph" w:customStyle="1" w:styleId="TextK">
    <w:name w:val="Text K"/>
    <w:link w:val="TextKChar"/>
    <w:uiPriority w:val="99"/>
    <w:rsid w:val="0052011D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link w:val="TextK"/>
    <w:uiPriority w:val="99"/>
    <w:locked/>
    <w:rsid w:val="0052011D"/>
    <w:rPr>
      <w:rFonts w:ascii="Arial" w:hAnsi="Arial" w:cs="Arial"/>
      <w:bCs/>
      <w:kern w:val="32"/>
      <w:sz w:val="22"/>
      <w:szCs w:val="22"/>
      <w:lang w:val="cs-CZ" w:eastAsia="cs-CZ" w:bidi="ar-SA"/>
    </w:rPr>
  </w:style>
  <w:style w:type="paragraph" w:styleId="Prosttext">
    <w:name w:val="Plain Text"/>
    <w:basedOn w:val="Normln"/>
    <w:link w:val="ProsttextChar"/>
    <w:autoRedefine/>
    <w:uiPriority w:val="99"/>
    <w:locked/>
    <w:rsid w:val="0052011D"/>
    <w:pPr>
      <w:spacing w:after="0"/>
      <w:ind w:firstLine="0"/>
      <w:contextualSpacing w:val="0"/>
    </w:pPr>
    <w:rPr>
      <w:rFonts w:ascii="Times New Roman" w:hAnsi="Times New Roman"/>
      <w:sz w:val="24"/>
    </w:rPr>
  </w:style>
  <w:style w:type="character" w:customStyle="1" w:styleId="ProsttextChar">
    <w:name w:val="Prostý text Char"/>
    <w:link w:val="Prosttext"/>
    <w:uiPriority w:val="99"/>
    <w:semiHidden/>
    <w:locked/>
    <w:rsid w:val="0094165D"/>
    <w:rPr>
      <w:rFonts w:ascii="Courier New" w:hAnsi="Courier New" w:cs="Courier New"/>
      <w:sz w:val="20"/>
      <w:szCs w:val="20"/>
    </w:rPr>
  </w:style>
  <w:style w:type="numbering" w:customStyle="1" w:styleId="Styl1">
    <w:name w:val="Styl1"/>
    <w:rsid w:val="00AE34D8"/>
    <w:pPr>
      <w:numPr>
        <w:numId w:val="13"/>
      </w:numPr>
    </w:pPr>
  </w:style>
  <w:style w:type="paragraph" w:styleId="Zkladntextodsazen2">
    <w:name w:val="Body Text Indent 2"/>
    <w:basedOn w:val="Normln"/>
    <w:link w:val="Zkladntextodsazen2Char"/>
    <w:locked/>
    <w:rsid w:val="003129A1"/>
    <w:pPr>
      <w:spacing w:line="480" w:lineRule="auto"/>
      <w:ind w:left="283"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odsazen2Char">
    <w:name w:val="Základní text odsazený 2 Char"/>
    <w:link w:val="Zkladntextodsazen2"/>
    <w:rsid w:val="003129A1"/>
    <w:rPr>
      <w:sz w:val="24"/>
      <w:szCs w:val="24"/>
    </w:rPr>
  </w:style>
  <w:style w:type="paragraph" w:customStyle="1" w:styleId="Normlntz">
    <w:name w:val="Normálnítz"/>
    <w:basedOn w:val="Normln"/>
    <w:rsid w:val="003129A1"/>
    <w:pPr>
      <w:spacing w:before="60" w:after="0"/>
      <w:ind w:firstLine="0"/>
      <w:contextualSpacing w:val="0"/>
    </w:pPr>
    <w:rPr>
      <w:rFonts w:ascii="PalmSprings" w:hAnsi="PalmSprings"/>
      <w:sz w:val="24"/>
    </w:rPr>
  </w:style>
  <w:style w:type="paragraph" w:customStyle="1" w:styleId="WW-Zkladntext2">
    <w:name w:val="WW-Základní text 2"/>
    <w:basedOn w:val="Normln"/>
    <w:rsid w:val="003129A1"/>
    <w:pPr>
      <w:suppressAutoHyphens/>
      <w:spacing w:after="0"/>
      <w:ind w:firstLine="0"/>
      <w:contextualSpacing w:val="0"/>
    </w:pPr>
    <w:rPr>
      <w:sz w:val="20"/>
      <w:lang w:eastAsia="ar-SA"/>
    </w:rPr>
  </w:style>
  <w:style w:type="paragraph" w:styleId="Zkladntext2">
    <w:name w:val="Body Text 2"/>
    <w:basedOn w:val="Normln"/>
    <w:link w:val="Zkladntext2Char"/>
    <w:locked/>
    <w:rsid w:val="003129A1"/>
    <w:pPr>
      <w:spacing w:line="480" w:lineRule="auto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í text 2 Char"/>
    <w:link w:val="Zkladntext2"/>
    <w:rsid w:val="003129A1"/>
    <w:rPr>
      <w:sz w:val="24"/>
      <w:szCs w:val="24"/>
    </w:rPr>
  </w:style>
  <w:style w:type="paragraph" w:styleId="Normlnweb">
    <w:name w:val="Normal (Web)"/>
    <w:basedOn w:val="Normln"/>
    <w:uiPriority w:val="99"/>
    <w:unhideWhenUsed/>
    <w:locked/>
    <w:rsid w:val="0058740F"/>
    <w:pPr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Styl1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95328-F7C6-4D0D-99A2-B7F889E4F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2943</TotalTime>
  <Pages>11</Pages>
  <Words>3437</Words>
  <Characters>20285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23675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jiri</dc:creator>
  <cp:keywords/>
  <dc:description/>
  <cp:lastModifiedBy>Kostínková Jana Bc.</cp:lastModifiedBy>
  <cp:revision>184</cp:revision>
  <cp:lastPrinted>2019-11-12T15:58:00Z</cp:lastPrinted>
  <dcterms:created xsi:type="dcterms:W3CDTF">2014-05-01T13:47:00Z</dcterms:created>
  <dcterms:modified xsi:type="dcterms:W3CDTF">2019-12-09T10:49:00Z</dcterms:modified>
</cp:coreProperties>
</file>